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1" w:lineRule="exact"/>
        <w:rPr>
          <w:sz w:val="24"/>
          <w:szCs w:val="24"/>
          <w:color w:val="auto"/>
        </w:rPr>
      </w:pPr>
    </w:p>
    <w:p>
      <w:pPr>
        <w:jc w:val="center"/>
        <w:ind w:right="-3"/>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3"/>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227330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26" w:lineRule="exact"/>
        <w:rPr>
          <w:sz w:val="24"/>
          <w:szCs w:val="24"/>
          <w:color w:val="auto"/>
        </w:rPr>
      </w:pPr>
    </w:p>
    <w:p>
      <w:pPr>
        <w:jc w:val="center"/>
        <w:ind w:right="-3"/>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247015</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Pursuant to Section 13 or 15(d)</w:t>
      </w:r>
    </w:p>
    <w:p>
      <w:pPr>
        <w:jc w:val="center"/>
        <w:ind w:right="-3"/>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Date of Report (Date of earliest event reported): May 7,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233680</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35" w:lineRule="exact"/>
        <w:rPr>
          <w:sz w:val="24"/>
          <w:szCs w:val="24"/>
          <w:color w:val="auto"/>
        </w:rPr>
      </w:pPr>
    </w:p>
    <w:p>
      <w:pPr>
        <w:jc w:val="center"/>
        <w:ind w:right="-3"/>
        <w:spacing w:after="0"/>
        <w:rPr>
          <w:sz w:val="20"/>
          <w:szCs w:val="20"/>
          <w:color w:val="auto"/>
        </w:rPr>
      </w:pPr>
      <w:r>
        <w:rPr>
          <w:rFonts w:ascii="Arial" w:cs="Arial" w:eastAsia="Arial" w:hAnsi="Arial"/>
          <w:sz w:val="43"/>
          <w:szCs w:val="43"/>
          <w:b w:val="1"/>
          <w:bCs w:val="1"/>
          <w:color w:val="auto"/>
        </w:rPr>
        <w:t>Verrica Pharmaceuticals Inc.</w:t>
      </w:r>
    </w:p>
    <w:p>
      <w:pPr>
        <w:spacing w:after="0" w:line="50" w:lineRule="exact"/>
        <w:rPr>
          <w:sz w:val="24"/>
          <w:szCs w:val="24"/>
          <w:color w:val="auto"/>
        </w:rPr>
      </w:pPr>
    </w:p>
    <w:p>
      <w:pPr>
        <w:jc w:val="center"/>
        <w:ind w:right="-3"/>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236220</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1024" w:type="dxa"/>
        <w:tblCellMar>
          <w:top w:w="0" w:type="dxa"/>
          <w:left w:w="0" w:type="dxa"/>
          <w:bottom w:w="0" w:type="dxa"/>
          <w:right w:w="0" w:type="dxa"/>
        </w:tblCellMar>
      </w:tblPr>
      <w:tr>
        <w:trPr>
          <w:trHeight w:val="212"/>
        </w:trPr>
        <w:tc>
          <w:tcPr>
            <w:tcW w:w="3580" w:type="dxa"/>
            <w:vAlign w:val="bottom"/>
          </w:tcPr>
          <w:p>
            <w:pPr>
              <w:jc w:val="center"/>
              <w:ind w:right="1819"/>
              <w:spacing w:after="0"/>
              <w:rPr>
                <w:sz w:val="20"/>
                <w:szCs w:val="20"/>
                <w:color w:val="auto"/>
              </w:rPr>
            </w:pPr>
            <w:r>
              <w:rPr>
                <w:rFonts w:ascii="Arial" w:cs="Arial" w:eastAsia="Arial" w:hAnsi="Arial"/>
                <w:sz w:val="18"/>
                <w:szCs w:val="18"/>
                <w:b w:val="1"/>
                <w:bCs w:val="1"/>
                <w:color w:val="auto"/>
                <w:w w:val="91"/>
              </w:rPr>
              <w:t>Delaware</w:t>
            </w:r>
          </w:p>
        </w:tc>
        <w:tc>
          <w:tcPr>
            <w:tcW w:w="2420" w:type="dxa"/>
            <w:vAlign w:val="bottom"/>
          </w:tcPr>
          <w:p>
            <w:pPr>
              <w:ind w:left="620"/>
              <w:spacing w:after="0"/>
              <w:rPr>
                <w:sz w:val="20"/>
                <w:szCs w:val="20"/>
                <w:color w:val="auto"/>
              </w:rPr>
            </w:pPr>
            <w:r>
              <w:rPr>
                <w:rFonts w:ascii="Arial" w:cs="Arial" w:eastAsia="Arial" w:hAnsi="Arial"/>
                <w:sz w:val="18"/>
                <w:szCs w:val="18"/>
                <w:b w:val="1"/>
                <w:bCs w:val="1"/>
                <w:color w:val="auto"/>
              </w:rPr>
              <w:t>001-38529</w:t>
            </w:r>
          </w:p>
        </w:tc>
        <w:tc>
          <w:tcPr>
            <w:tcW w:w="2800" w:type="dxa"/>
            <w:vAlign w:val="bottom"/>
          </w:tcPr>
          <w:p>
            <w:pPr>
              <w:jc w:val="center"/>
              <w:ind w:left="1581"/>
              <w:spacing w:after="0"/>
              <w:rPr>
                <w:sz w:val="20"/>
                <w:szCs w:val="20"/>
                <w:color w:val="auto"/>
              </w:rPr>
            </w:pPr>
            <w:r>
              <w:rPr>
                <w:rFonts w:ascii="Arial" w:cs="Arial" w:eastAsia="Arial" w:hAnsi="Arial"/>
                <w:sz w:val="18"/>
                <w:szCs w:val="18"/>
                <w:b w:val="1"/>
                <w:bCs w:val="1"/>
                <w:color w:val="auto"/>
                <w:w w:val="89"/>
              </w:rPr>
              <w:t>46-3137900</w:t>
            </w:r>
          </w:p>
        </w:tc>
      </w:tr>
      <w:tr>
        <w:trPr>
          <w:trHeight w:val="148"/>
        </w:trPr>
        <w:tc>
          <w:tcPr>
            <w:tcW w:w="3580" w:type="dxa"/>
            <w:vAlign w:val="bottom"/>
          </w:tcPr>
          <w:p>
            <w:pPr>
              <w:jc w:val="center"/>
              <w:ind w:right="1799"/>
              <w:spacing w:after="0" w:line="149" w:lineRule="exact"/>
              <w:rPr>
                <w:sz w:val="20"/>
                <w:szCs w:val="20"/>
                <w:color w:val="auto"/>
              </w:rPr>
            </w:pPr>
            <w:r>
              <w:rPr>
                <w:rFonts w:ascii="Arial" w:cs="Arial" w:eastAsia="Arial" w:hAnsi="Arial"/>
                <w:sz w:val="14"/>
                <w:szCs w:val="14"/>
                <w:b w:val="1"/>
                <w:bCs w:val="1"/>
                <w:color w:val="auto"/>
                <w:w w:val="93"/>
              </w:rPr>
              <w:t>(State or Other Jurisdiction</w:t>
            </w:r>
          </w:p>
        </w:tc>
        <w:tc>
          <w:tcPr>
            <w:tcW w:w="2420" w:type="dxa"/>
            <w:vAlign w:val="bottom"/>
          </w:tcPr>
          <w:p>
            <w:pPr>
              <w:ind w:left="620"/>
              <w:spacing w:after="0" w:line="149" w:lineRule="exact"/>
              <w:rPr>
                <w:sz w:val="20"/>
                <w:szCs w:val="20"/>
                <w:color w:val="auto"/>
              </w:rPr>
            </w:pPr>
            <w:r>
              <w:rPr>
                <w:rFonts w:ascii="Arial" w:cs="Arial" w:eastAsia="Arial" w:hAnsi="Arial"/>
                <w:sz w:val="14"/>
                <w:szCs w:val="14"/>
                <w:b w:val="1"/>
                <w:bCs w:val="1"/>
                <w:color w:val="auto"/>
              </w:rPr>
              <w:t>(Commission</w:t>
            </w:r>
          </w:p>
        </w:tc>
        <w:tc>
          <w:tcPr>
            <w:tcW w:w="2800" w:type="dxa"/>
            <w:vAlign w:val="bottom"/>
          </w:tcPr>
          <w:p>
            <w:pPr>
              <w:jc w:val="center"/>
              <w:ind w:left="1581"/>
              <w:spacing w:after="0" w:line="149" w:lineRule="exact"/>
              <w:rPr>
                <w:sz w:val="20"/>
                <w:szCs w:val="20"/>
                <w:color w:val="auto"/>
              </w:rPr>
            </w:pPr>
            <w:r>
              <w:rPr>
                <w:rFonts w:ascii="Arial" w:cs="Arial" w:eastAsia="Arial" w:hAnsi="Arial"/>
                <w:sz w:val="14"/>
                <w:szCs w:val="14"/>
                <w:b w:val="1"/>
                <w:bCs w:val="1"/>
                <w:color w:val="auto"/>
                <w:w w:val="98"/>
              </w:rPr>
              <w:t>(IRS Employer</w:t>
            </w:r>
          </w:p>
        </w:tc>
      </w:tr>
      <w:tr>
        <w:trPr>
          <w:trHeight w:val="186"/>
        </w:trPr>
        <w:tc>
          <w:tcPr>
            <w:tcW w:w="3580" w:type="dxa"/>
            <w:vAlign w:val="bottom"/>
          </w:tcPr>
          <w:p>
            <w:pPr>
              <w:jc w:val="center"/>
              <w:ind w:right="1799"/>
              <w:spacing w:after="0"/>
              <w:rPr>
                <w:sz w:val="20"/>
                <w:szCs w:val="20"/>
                <w:color w:val="auto"/>
              </w:rPr>
            </w:pPr>
            <w:r>
              <w:rPr>
                <w:rFonts w:ascii="Arial" w:cs="Arial" w:eastAsia="Arial" w:hAnsi="Arial"/>
                <w:sz w:val="14"/>
                <w:szCs w:val="14"/>
                <w:b w:val="1"/>
                <w:bCs w:val="1"/>
                <w:color w:val="auto"/>
                <w:w w:val="94"/>
              </w:rPr>
              <w:t>of Incorporation)</w:t>
            </w:r>
          </w:p>
        </w:tc>
        <w:tc>
          <w:tcPr>
            <w:tcW w:w="2420" w:type="dxa"/>
            <w:vAlign w:val="bottom"/>
          </w:tcPr>
          <w:p>
            <w:pPr>
              <w:ind w:left="600"/>
              <w:spacing w:after="0"/>
              <w:rPr>
                <w:sz w:val="20"/>
                <w:szCs w:val="20"/>
                <w:color w:val="auto"/>
              </w:rPr>
            </w:pPr>
            <w:r>
              <w:rPr>
                <w:rFonts w:ascii="Arial" w:cs="Arial" w:eastAsia="Arial" w:hAnsi="Arial"/>
                <w:sz w:val="14"/>
                <w:szCs w:val="14"/>
                <w:b w:val="1"/>
                <w:bCs w:val="1"/>
                <w:color w:val="auto"/>
              </w:rPr>
              <w:t>File Number)</w:t>
            </w:r>
          </w:p>
        </w:tc>
        <w:tc>
          <w:tcPr>
            <w:tcW w:w="2800" w:type="dxa"/>
            <w:vAlign w:val="bottom"/>
          </w:tcPr>
          <w:p>
            <w:pPr>
              <w:jc w:val="center"/>
              <w:ind w:left="1581"/>
              <w:spacing w:after="0"/>
              <w:rPr>
                <w:sz w:val="20"/>
                <w:szCs w:val="20"/>
                <w:color w:val="auto"/>
              </w:rPr>
            </w:pPr>
            <w:r>
              <w:rPr>
                <w:rFonts w:ascii="Arial" w:cs="Arial" w:eastAsia="Arial" w:hAnsi="Arial"/>
                <w:sz w:val="14"/>
                <w:szCs w:val="14"/>
                <w:b w:val="1"/>
                <w:bCs w:val="1"/>
                <w:color w:val="auto"/>
                <w:w w:val="96"/>
              </w:rPr>
              <w:t>Identification No.)</w:t>
            </w:r>
          </w:p>
        </w:tc>
      </w:tr>
      <w:tr>
        <w:trPr>
          <w:trHeight w:val="439"/>
        </w:trPr>
        <w:tc>
          <w:tcPr>
            <w:tcW w:w="3580" w:type="dxa"/>
            <w:vAlign w:val="bottom"/>
          </w:tcPr>
          <w:p>
            <w:pPr>
              <w:jc w:val="center"/>
              <w:spacing w:after="0"/>
              <w:rPr>
                <w:sz w:val="20"/>
                <w:szCs w:val="20"/>
                <w:color w:val="auto"/>
              </w:rPr>
            </w:pPr>
            <w:r>
              <w:rPr>
                <w:rFonts w:ascii="Arial" w:cs="Arial" w:eastAsia="Arial" w:hAnsi="Arial"/>
                <w:sz w:val="18"/>
                <w:szCs w:val="18"/>
                <w:b w:val="1"/>
                <w:bCs w:val="1"/>
                <w:color w:val="auto"/>
                <w:w w:val="90"/>
              </w:rPr>
              <w:t>44 W. Gay St., Suite</w:t>
            </w:r>
          </w:p>
        </w:tc>
        <w:tc>
          <w:tcPr>
            <w:tcW w:w="2420" w:type="dxa"/>
            <w:vAlign w:val="bottom"/>
          </w:tcPr>
          <w:p>
            <w:pPr>
              <w:spacing w:after="0"/>
              <w:rPr>
                <w:sz w:val="24"/>
                <w:szCs w:val="24"/>
                <w:color w:val="auto"/>
              </w:rPr>
            </w:pPr>
          </w:p>
        </w:tc>
        <w:tc>
          <w:tcPr>
            <w:tcW w:w="2800" w:type="dxa"/>
            <w:vAlign w:val="bottom"/>
          </w:tcPr>
          <w:p>
            <w:pPr>
              <w:spacing w:after="0"/>
              <w:rPr>
                <w:sz w:val="24"/>
                <w:szCs w:val="24"/>
                <w:color w:val="auto"/>
              </w:rPr>
            </w:pPr>
          </w:p>
        </w:tc>
      </w:tr>
      <w:tr>
        <w:trPr>
          <w:trHeight w:val="225"/>
        </w:trPr>
        <w:tc>
          <w:tcPr>
            <w:tcW w:w="3580" w:type="dxa"/>
            <w:vAlign w:val="bottom"/>
          </w:tcPr>
          <w:p>
            <w:pPr>
              <w:jc w:val="center"/>
              <w:spacing w:after="0"/>
              <w:rPr>
                <w:sz w:val="20"/>
                <w:szCs w:val="20"/>
                <w:color w:val="auto"/>
              </w:rPr>
            </w:pPr>
            <w:r>
              <w:rPr>
                <w:rFonts w:ascii="Arial" w:cs="Arial" w:eastAsia="Arial" w:hAnsi="Arial"/>
                <w:sz w:val="18"/>
                <w:szCs w:val="18"/>
                <w:b w:val="1"/>
                <w:bCs w:val="1"/>
                <w:color w:val="auto"/>
                <w:w w:val="88"/>
              </w:rPr>
              <w:t>400 West Chester, PA</w:t>
            </w:r>
          </w:p>
        </w:tc>
        <w:tc>
          <w:tcPr>
            <w:tcW w:w="2420" w:type="dxa"/>
            <w:vAlign w:val="bottom"/>
          </w:tcPr>
          <w:p>
            <w:pPr>
              <w:spacing w:after="0"/>
              <w:rPr>
                <w:sz w:val="19"/>
                <w:szCs w:val="19"/>
                <w:color w:val="auto"/>
              </w:rPr>
            </w:pPr>
          </w:p>
        </w:tc>
        <w:tc>
          <w:tcPr>
            <w:tcW w:w="2800" w:type="dxa"/>
            <w:vAlign w:val="bottom"/>
          </w:tcPr>
          <w:p>
            <w:pPr>
              <w:jc w:val="right"/>
              <w:ind w:right="1181"/>
              <w:spacing w:after="0"/>
              <w:rPr>
                <w:sz w:val="20"/>
                <w:szCs w:val="20"/>
                <w:color w:val="auto"/>
              </w:rPr>
            </w:pPr>
            <w:r>
              <w:rPr>
                <w:rFonts w:ascii="Arial" w:cs="Arial" w:eastAsia="Arial" w:hAnsi="Arial"/>
                <w:sz w:val="18"/>
                <w:szCs w:val="18"/>
                <w:b w:val="1"/>
                <w:bCs w:val="1"/>
                <w:color w:val="auto"/>
              </w:rPr>
              <w:t>19380</w:t>
            </w:r>
          </w:p>
        </w:tc>
      </w:tr>
      <w:tr>
        <w:trPr>
          <w:trHeight w:val="186"/>
        </w:trPr>
        <w:tc>
          <w:tcPr>
            <w:tcW w:w="3580" w:type="dxa"/>
            <w:vAlign w:val="bottom"/>
          </w:tcPr>
          <w:p>
            <w:pPr>
              <w:jc w:val="center"/>
              <w:spacing w:after="0"/>
              <w:rPr>
                <w:sz w:val="20"/>
                <w:szCs w:val="20"/>
                <w:color w:val="auto"/>
              </w:rPr>
            </w:pPr>
            <w:r>
              <w:rPr>
                <w:rFonts w:ascii="Arial" w:cs="Arial" w:eastAsia="Arial" w:hAnsi="Arial"/>
                <w:sz w:val="14"/>
                <w:szCs w:val="14"/>
                <w:b w:val="1"/>
                <w:bCs w:val="1"/>
                <w:color w:val="auto"/>
                <w:w w:val="92"/>
              </w:rPr>
              <w:t>(Address of Principal Executive Offices)</w:t>
            </w:r>
          </w:p>
        </w:tc>
        <w:tc>
          <w:tcPr>
            <w:tcW w:w="2420" w:type="dxa"/>
            <w:vAlign w:val="bottom"/>
          </w:tcPr>
          <w:p>
            <w:pPr>
              <w:spacing w:after="0"/>
              <w:rPr>
                <w:sz w:val="16"/>
                <w:szCs w:val="16"/>
                <w:color w:val="auto"/>
              </w:rPr>
            </w:pPr>
          </w:p>
        </w:tc>
        <w:tc>
          <w:tcPr>
            <w:tcW w:w="2800" w:type="dxa"/>
            <w:vAlign w:val="bottom"/>
          </w:tcPr>
          <w:p>
            <w:pPr>
              <w:jc w:val="center"/>
              <w:ind w:right="81"/>
              <w:spacing w:after="0"/>
              <w:rPr>
                <w:sz w:val="20"/>
                <w:szCs w:val="20"/>
                <w:color w:val="auto"/>
              </w:rPr>
            </w:pPr>
            <w:r>
              <w:rPr>
                <w:rFonts w:ascii="Arial" w:cs="Arial" w:eastAsia="Arial" w:hAnsi="Arial"/>
                <w:sz w:val="14"/>
                <w:szCs w:val="14"/>
                <w:b w:val="1"/>
                <w:bCs w:val="1"/>
                <w:color w:val="auto"/>
                <w:w w:val="98"/>
              </w:rPr>
              <w:t>(Zip Code)</w:t>
            </w:r>
          </w:p>
        </w:tc>
      </w:tr>
    </w:tbl>
    <w:p>
      <w:pPr>
        <w:spacing w:after="0" w:line="183" w:lineRule="exact"/>
        <w:rPr>
          <w:sz w:val="24"/>
          <w:szCs w:val="24"/>
          <w:color w:val="auto"/>
        </w:rPr>
      </w:pPr>
    </w:p>
    <w:p>
      <w:pPr>
        <w:jc w:val="center"/>
        <w:ind w:right="-3"/>
        <w:spacing w:after="0"/>
        <w:rPr>
          <w:sz w:val="20"/>
          <w:szCs w:val="20"/>
          <w:color w:val="auto"/>
        </w:rPr>
      </w:pPr>
      <w:r>
        <w:rPr>
          <w:rFonts w:ascii="Arial" w:cs="Arial" w:eastAsia="Arial" w:hAnsi="Arial"/>
          <w:sz w:val="18"/>
          <w:szCs w:val="18"/>
          <w:b w:val="1"/>
          <w:bCs w:val="1"/>
          <w:color w:val="auto"/>
        </w:rPr>
        <w:t>Registrant’s telephone number, including area code: (484) 453-3300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248920</wp:posOffset>
            </wp:positionV>
            <wp:extent cx="14744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87" w:lineRule="exact"/>
        <w:rPr>
          <w:sz w:val="24"/>
          <w:szCs w:val="24"/>
          <w:color w:val="auto"/>
        </w:rPr>
      </w:pPr>
    </w:p>
    <w:p>
      <w:pPr>
        <w:ind w:left="4" w:right="4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left="4"/>
        <w:spacing w:after="0"/>
        <w:rPr>
          <w:sz w:val="20"/>
          <w:szCs w:val="20"/>
          <w:color w:val="auto"/>
        </w:rPr>
      </w:pPr>
      <w:r>
        <w:rPr>
          <w:rFonts w:ascii="Arial" w:cs="Arial" w:eastAsia="Arial" w:hAnsi="Arial"/>
          <w:sz w:val="18"/>
          <w:szCs w:val="18"/>
          <w:color w:val="auto"/>
        </w:rPr>
        <w:t>Securities registered pursuant to Section 12(b) of the Securities Exchange Act of 1934:</w:t>
      </w:r>
    </w:p>
    <w:p>
      <w:pPr>
        <w:spacing w:after="0" w:line="231" w:lineRule="exact"/>
        <w:rPr>
          <w:sz w:val="24"/>
          <w:szCs w:val="24"/>
          <w:color w:val="auto"/>
        </w:rPr>
      </w:pPr>
    </w:p>
    <w:tbl>
      <w:tblPr>
        <w:tblLayout w:type="fixed"/>
        <w:tblInd w:w="4"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Title of each class</w:t>
            </w:r>
          </w:p>
        </w:tc>
        <w:tc>
          <w:tcPr>
            <w:tcW w:w="3620" w:type="dxa"/>
            <w:vAlign w:val="bottom"/>
            <w:gridSpan w:val="2"/>
          </w:tcPr>
          <w:p>
            <w:pPr>
              <w:ind w:left="1520"/>
              <w:spacing w:after="0"/>
              <w:rPr>
                <w:sz w:val="20"/>
                <w:szCs w:val="20"/>
                <w:color w:val="auto"/>
              </w:rPr>
            </w:pPr>
            <w:r>
              <w:rPr>
                <w:rFonts w:ascii="Arial" w:cs="Arial" w:eastAsia="Arial" w:hAnsi="Arial"/>
                <w:sz w:val="14"/>
                <w:szCs w:val="14"/>
                <w:b w:val="1"/>
                <w:bCs w:val="1"/>
                <w:color w:val="auto"/>
              </w:rPr>
              <w:t>Trading</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88"/>
              </w:rPr>
              <w:t>Name of each exchange</w:t>
            </w:r>
          </w:p>
        </w:tc>
        <w:tc>
          <w:tcPr>
            <w:tcW w:w="0" w:type="dxa"/>
            <w:vAlign w:val="bottom"/>
          </w:tcPr>
          <w:p>
            <w:pPr>
              <w:spacing w:after="0"/>
              <w:rPr>
                <w:sz w:val="1"/>
                <w:szCs w:val="1"/>
                <w:color w:val="auto"/>
              </w:rPr>
            </w:pPr>
          </w:p>
        </w:tc>
      </w:tr>
      <w:tr>
        <w:trPr>
          <w:trHeight w:val="185"/>
        </w:trPr>
        <w:tc>
          <w:tcPr>
            <w:tcW w:w="3860" w:type="dxa"/>
            <w:vAlign w:val="bottom"/>
            <w:gridSpan w:val="2"/>
            <w:vMerge w:val="continue"/>
          </w:tcPr>
          <w:p>
            <w:pPr>
              <w:spacing w:after="0"/>
              <w:rPr>
                <w:sz w:val="16"/>
                <w:szCs w:val="16"/>
                <w:color w:val="auto"/>
              </w:rPr>
            </w:pPr>
          </w:p>
        </w:tc>
        <w:tc>
          <w:tcPr>
            <w:tcW w:w="3620" w:type="dxa"/>
            <w:vAlign w:val="bottom"/>
            <w:gridSpan w:val="2"/>
          </w:tcPr>
          <w:p>
            <w:pPr>
              <w:ind w:left="1540"/>
              <w:spacing w:after="0"/>
              <w:rPr>
                <w:sz w:val="20"/>
                <w:szCs w:val="20"/>
                <w:color w:val="auto"/>
              </w:rPr>
            </w:pPr>
            <w:r>
              <w:rPr>
                <w:rFonts w:ascii="Arial" w:cs="Arial" w:eastAsia="Arial" w:hAnsi="Arial"/>
                <w:sz w:val="14"/>
                <w:szCs w:val="14"/>
                <w:b w:val="1"/>
                <w:bCs w:val="1"/>
                <w:color w:val="auto"/>
              </w:rPr>
              <w:t>symbol</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2"/>
              </w:rPr>
              <w:t>on which registered</w:t>
            </w:r>
          </w:p>
        </w:tc>
        <w:tc>
          <w:tcPr>
            <w:tcW w:w="0" w:type="dxa"/>
            <w:vAlign w:val="bottom"/>
          </w:tcPr>
          <w:p>
            <w:pPr>
              <w:spacing w:after="0"/>
              <w:rPr>
                <w:sz w:val="1"/>
                <w:szCs w:val="1"/>
                <w:color w:val="auto"/>
              </w:rPr>
            </w:pPr>
          </w:p>
        </w:tc>
      </w:tr>
      <w:tr>
        <w:trPr>
          <w:trHeight w:val="228"/>
        </w:trPr>
        <w:tc>
          <w:tcPr>
            <w:tcW w:w="37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Common Stock</w:t>
            </w:r>
          </w:p>
        </w:tc>
        <w:tc>
          <w:tcPr>
            <w:tcW w:w="120" w:type="dxa"/>
            <w:vAlign w:val="bottom"/>
          </w:tcPr>
          <w:p>
            <w:pPr>
              <w:spacing w:after="0"/>
              <w:rPr>
                <w:sz w:val="19"/>
                <w:szCs w:val="19"/>
                <w:color w:val="auto"/>
              </w:rPr>
            </w:pPr>
          </w:p>
        </w:tc>
        <w:tc>
          <w:tcPr>
            <w:tcW w:w="3520" w:type="dxa"/>
            <w:vAlign w:val="bottom"/>
            <w:tcBorders>
              <w:top w:val="single" w:sz="8" w:color="auto"/>
            </w:tcBorders>
          </w:tcPr>
          <w:p>
            <w:pPr>
              <w:ind w:left="1500"/>
              <w:spacing w:after="0"/>
              <w:rPr>
                <w:sz w:val="20"/>
                <w:szCs w:val="20"/>
                <w:color w:val="auto"/>
              </w:rPr>
            </w:pPr>
            <w:r>
              <w:rPr>
                <w:rFonts w:ascii="Arial" w:cs="Arial" w:eastAsia="Arial" w:hAnsi="Arial"/>
                <w:sz w:val="18"/>
                <w:szCs w:val="18"/>
                <w:b w:val="1"/>
                <w:bCs w:val="1"/>
                <w:color w:val="auto"/>
              </w:rPr>
              <w:t>VRCA</w:t>
            </w:r>
          </w:p>
        </w:tc>
        <w:tc>
          <w:tcPr>
            <w:tcW w:w="100" w:type="dxa"/>
            <w:vAlign w:val="bottom"/>
          </w:tcPr>
          <w:p>
            <w:pPr>
              <w:spacing w:after="0"/>
              <w:rPr>
                <w:sz w:val="19"/>
                <w:szCs w:val="19"/>
                <w:color w:val="auto"/>
              </w:rPr>
            </w:pPr>
          </w:p>
        </w:tc>
        <w:tc>
          <w:tcPr>
            <w:tcW w:w="35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3"/>
              </w:rPr>
              <w:t>The Nasdaq Stock Market LLC</w:t>
            </w:r>
          </w:p>
        </w:tc>
        <w:tc>
          <w:tcPr>
            <w:tcW w:w="0" w:type="dxa"/>
            <w:vAlign w:val="bottom"/>
          </w:tcPr>
          <w:p>
            <w:pPr>
              <w:spacing w:after="0"/>
              <w:rPr>
                <w:sz w:val="1"/>
                <w:szCs w:val="1"/>
                <w:color w:val="auto"/>
              </w:rPr>
            </w:pPr>
          </w:p>
        </w:tc>
      </w:tr>
    </w:tbl>
    <w:p>
      <w:pPr>
        <w:spacing w:after="0" w:line="183" w:lineRule="exact"/>
        <w:rPr>
          <w:sz w:val="24"/>
          <w:szCs w:val="24"/>
          <w:color w:val="auto"/>
        </w:rPr>
      </w:pPr>
    </w:p>
    <w:p>
      <w:pPr>
        <w:ind w:left="4" w:right="30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ind w:left="4"/>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left="4"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133350</wp:posOffset>
            </wp:positionV>
            <wp:extent cx="69951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176530</wp:posOffset>
            </wp:positionV>
            <wp:extent cx="69951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sectPr>
      </w:pPr>
    </w:p>
    <w:bookmarkStart w:id="1" w:name="page2"/>
    <w:bookmarkEnd w:id="1"/>
    <w:p>
      <w:pPr>
        <w:spacing w:after="0"/>
        <w:tabs>
          <w:tab w:leader="none" w:pos="118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55880"/>
                    </a:xfrm>
                    <a:prstGeom prst="rect">
                      <a:avLst/>
                    </a:prstGeom>
                    <a:noFill/>
                  </pic:spPr>
                </pic:pic>
              </a:graphicData>
            </a:graphic>
          </wp:anchor>
        </w:drawing>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121" w:lineRule="exact"/>
        <w:rPr>
          <w:sz w:val="20"/>
          <w:szCs w:val="20"/>
          <w:color w:val="auto"/>
        </w:rPr>
      </w:pPr>
    </w:p>
    <w:p>
      <w:pPr>
        <w:ind w:right="120"/>
        <w:spacing w:after="0" w:line="342" w:lineRule="auto"/>
        <w:rPr>
          <w:sz w:val="20"/>
          <w:szCs w:val="20"/>
          <w:color w:val="auto"/>
        </w:rPr>
      </w:pPr>
      <w:r>
        <w:rPr>
          <w:rFonts w:ascii="Arial" w:cs="Arial" w:eastAsia="Arial" w:hAnsi="Arial"/>
          <w:sz w:val="16"/>
          <w:szCs w:val="16"/>
          <w:color w:val="auto"/>
        </w:rPr>
        <w:t>On May 7, 2021, Verrica Pharmaceuticals Inc. (the “</w:t>
      </w:r>
      <w:r>
        <w:rPr>
          <w:rFonts w:ascii="Arial" w:cs="Arial" w:eastAsia="Arial" w:hAnsi="Arial"/>
          <w:sz w:val="16"/>
          <w:szCs w:val="16"/>
          <w:b w:val="1"/>
          <w:bCs w:val="1"/>
          <w:i w:val="1"/>
          <w:iCs w:val="1"/>
          <w:color w:val="auto"/>
        </w:rPr>
        <w:t>Registrant</w:t>
      </w:r>
      <w:r>
        <w:rPr>
          <w:rFonts w:ascii="Arial" w:cs="Arial" w:eastAsia="Arial" w:hAnsi="Arial"/>
          <w:sz w:val="16"/>
          <w:szCs w:val="16"/>
          <w:color w:val="auto"/>
        </w:rPr>
        <w:t>”) issued a press release announcing its financial results for the quarter ended March 31, 2021. This press release has been furnished as Exhibit 99.1 to this Current Report on Form 8-K and is incorporated herein by reference.</w:t>
      </w:r>
    </w:p>
    <w:p>
      <w:pPr>
        <w:spacing w:after="0" w:line="124"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In accordance with General Instruction B.2. of Form 8-K, the information in this Item 2.02, and Exhibit 99.1 hereto, shall not be deemed “filed” for purposes of Section 18 of the Securities Exchange Act of 1934, as amended (the “</w:t>
      </w:r>
      <w:r>
        <w:rPr>
          <w:rFonts w:ascii="Arial" w:cs="Arial" w:eastAsia="Arial" w:hAnsi="Arial"/>
          <w:sz w:val="18"/>
          <w:szCs w:val="18"/>
          <w:b w:val="1"/>
          <w:bCs w:val="1"/>
          <w:i w:val="1"/>
          <w:iCs w:val="1"/>
          <w:color w:val="auto"/>
        </w:rPr>
        <w:t>Exchange Act</w:t>
      </w:r>
      <w:r>
        <w:rPr>
          <w:rFonts w:ascii="Arial" w:cs="Arial" w:eastAsia="Arial" w:hAnsi="Arial"/>
          <w:sz w:val="18"/>
          <w:szCs w:val="18"/>
          <w:color w:val="auto"/>
        </w:rPr>
        <w:t>”), or otherwise subject to the liability of that section, nor shall it be deemed incorporated by reference in any of the Registrant’s filings under the Securities Act of 1933, as amended, or the Exchange Act, whether made before or after the date hereof, regardless of any incorporation language in such a filing, except as expressly set forth by specific reference in such a filing.</w:t>
      </w:r>
    </w:p>
    <w:p>
      <w:pPr>
        <w:spacing w:after="0" w:line="332"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 Exhibits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040" w:type="dxa"/>
            <w:vAlign w:val="bottom"/>
          </w:tcPr>
          <w:p>
            <w:pPr>
              <w:jc w:val="center"/>
              <w:ind w:right="459"/>
              <w:spacing w:after="0"/>
              <w:rPr>
                <w:sz w:val="20"/>
                <w:szCs w:val="20"/>
                <w:color w:val="auto"/>
              </w:rPr>
            </w:pPr>
            <w:r>
              <w:rPr>
                <w:rFonts w:ascii="Arial" w:cs="Arial" w:eastAsia="Arial" w:hAnsi="Arial"/>
                <w:sz w:val="14"/>
                <w:szCs w:val="14"/>
                <w:b w:val="1"/>
                <w:bCs w:val="1"/>
                <w:color w:val="auto"/>
                <w:w w:val="98"/>
              </w:rPr>
              <w:t>Exhibit</w:t>
            </w:r>
          </w:p>
        </w:tc>
        <w:tc>
          <w:tcPr>
            <w:tcW w:w="2420" w:type="dxa"/>
            <w:vAlign w:val="bottom"/>
          </w:tcPr>
          <w:p>
            <w:pPr>
              <w:spacing w:after="0"/>
              <w:rPr>
                <w:sz w:val="14"/>
                <w:szCs w:val="14"/>
                <w:color w:val="auto"/>
              </w:rPr>
            </w:pPr>
          </w:p>
        </w:tc>
        <w:tc>
          <w:tcPr>
            <w:tcW w:w="2020" w:type="dxa"/>
            <w:vAlign w:val="bottom"/>
          </w:tcPr>
          <w:p>
            <w:pPr>
              <w:spacing w:after="0"/>
              <w:rPr>
                <w:sz w:val="14"/>
                <w:szCs w:val="14"/>
                <w:color w:val="auto"/>
              </w:rPr>
            </w:pPr>
          </w:p>
        </w:tc>
      </w:tr>
      <w:tr>
        <w:trPr>
          <w:trHeight w:val="200"/>
        </w:trPr>
        <w:tc>
          <w:tcPr>
            <w:tcW w:w="1040" w:type="dxa"/>
            <w:vAlign w:val="bottom"/>
          </w:tcPr>
          <w:p>
            <w:pPr>
              <w:jc w:val="center"/>
              <w:ind w:right="459"/>
              <w:spacing w:after="0"/>
              <w:rPr>
                <w:sz w:val="20"/>
                <w:szCs w:val="20"/>
                <w:color w:val="auto"/>
              </w:rPr>
            </w:pPr>
            <w:r>
              <w:rPr>
                <w:rFonts w:ascii="Arial" w:cs="Arial" w:eastAsia="Arial" w:hAnsi="Arial"/>
                <w:sz w:val="14"/>
                <w:szCs w:val="14"/>
                <w:b w:val="1"/>
                <w:bCs w:val="1"/>
                <w:color w:val="auto"/>
                <w:w w:val="94"/>
              </w:rPr>
              <w:t>Number</w:t>
            </w:r>
          </w:p>
        </w:tc>
        <w:tc>
          <w:tcPr>
            <w:tcW w:w="4440" w:type="dxa"/>
            <w:vAlign w:val="bottom"/>
            <w:gridSpan w:val="2"/>
          </w:tcPr>
          <w:p>
            <w:pPr>
              <w:spacing w:after="0"/>
              <w:rPr>
                <w:sz w:val="20"/>
                <w:szCs w:val="20"/>
                <w:color w:val="auto"/>
              </w:rPr>
            </w:pPr>
            <w:r>
              <w:rPr>
                <w:rFonts w:ascii="Arial" w:cs="Arial" w:eastAsia="Arial" w:hAnsi="Arial"/>
                <w:sz w:val="14"/>
                <w:szCs w:val="14"/>
                <w:b w:val="1"/>
                <w:bCs w:val="1"/>
                <w:color w:val="auto"/>
              </w:rPr>
              <w:t>Exhibit Description</w:t>
            </w:r>
          </w:p>
        </w:tc>
      </w:tr>
      <w:tr>
        <w:trPr>
          <w:trHeight w:val="269"/>
        </w:trPr>
        <w:tc>
          <w:tcPr>
            <w:tcW w:w="1040" w:type="dxa"/>
            <w:vAlign w:val="bottom"/>
          </w:tcPr>
          <w:p>
            <w:pPr>
              <w:spacing w:after="0"/>
              <w:rPr>
                <w:sz w:val="20"/>
                <w:szCs w:val="20"/>
                <w:color w:val="auto"/>
              </w:rPr>
            </w:pPr>
            <w:r>
              <w:rPr>
                <w:rFonts w:ascii="Arial" w:cs="Arial" w:eastAsia="Arial" w:hAnsi="Arial"/>
                <w:sz w:val="18"/>
                <w:szCs w:val="18"/>
                <w:color w:val="auto"/>
              </w:rPr>
              <w:t>99.1</w:t>
            </w:r>
          </w:p>
        </w:tc>
        <w:tc>
          <w:tcPr>
            <w:tcW w:w="2420" w:type="dxa"/>
            <w:vAlign w:val="bottom"/>
            <w:tcBorders>
              <w:bottom w:val="single" w:sz="8" w:color="0000EE"/>
            </w:tcBorders>
          </w:tcPr>
          <w:p>
            <w:pPr>
              <w:spacing w:after="0"/>
              <w:rPr>
                <w:rFonts w:ascii="Arial" w:cs="Arial" w:eastAsia="Arial" w:hAnsi="Arial"/>
                <w:sz w:val="18"/>
                <w:szCs w:val="18"/>
                <w:color w:val="0000EE"/>
                <w:w w:val="86"/>
              </w:rPr>
            </w:pPr>
            <w:hyperlink w:anchor="page4">
              <w:r>
                <w:rPr>
                  <w:rFonts w:ascii="Arial" w:cs="Arial" w:eastAsia="Arial" w:hAnsi="Arial"/>
                  <w:sz w:val="18"/>
                  <w:szCs w:val="18"/>
                  <w:color w:val="0000EE"/>
                  <w:w w:val="86"/>
                </w:rPr>
                <w:t>Press Release, dated May 7, 2021</w:t>
              </w:r>
            </w:hyperlink>
          </w:p>
        </w:tc>
        <w:tc>
          <w:tcPr>
            <w:tcW w:w="2020" w:type="dxa"/>
            <w:vAlign w:val="bottom"/>
          </w:tcPr>
          <w:p>
            <w:pPr>
              <w:spacing w:after="0"/>
              <w:rPr>
                <w:sz w:val="23"/>
                <w:szCs w:val="23"/>
                <w:color w:val="auto"/>
              </w:rPr>
            </w:pPr>
          </w:p>
        </w:tc>
      </w:tr>
      <w:tr>
        <w:trPr>
          <w:trHeight w:val="344"/>
        </w:trPr>
        <w:tc>
          <w:tcPr>
            <w:tcW w:w="1040" w:type="dxa"/>
            <w:vAlign w:val="bottom"/>
          </w:tcPr>
          <w:p>
            <w:pPr>
              <w:spacing w:after="0"/>
              <w:rPr>
                <w:sz w:val="20"/>
                <w:szCs w:val="20"/>
                <w:color w:val="auto"/>
              </w:rPr>
            </w:pPr>
            <w:r>
              <w:rPr>
                <w:rFonts w:ascii="Arial" w:cs="Arial" w:eastAsia="Arial" w:hAnsi="Arial"/>
                <w:sz w:val="18"/>
                <w:szCs w:val="18"/>
                <w:color w:val="auto"/>
              </w:rPr>
              <w:t>104</w:t>
            </w:r>
          </w:p>
        </w:tc>
        <w:tc>
          <w:tcPr>
            <w:tcW w:w="4440" w:type="dxa"/>
            <w:vAlign w:val="bottom"/>
            <w:gridSpan w:val="2"/>
          </w:tcPr>
          <w:p>
            <w:pPr>
              <w:spacing w:after="0"/>
              <w:rPr>
                <w:sz w:val="20"/>
                <w:szCs w:val="20"/>
                <w:color w:val="auto"/>
              </w:rPr>
            </w:pPr>
            <w:r>
              <w:rPr>
                <w:rFonts w:ascii="Arial" w:cs="Arial" w:eastAsia="Arial" w:hAnsi="Arial"/>
                <w:sz w:val="18"/>
                <w:szCs w:val="18"/>
                <w:color w:val="auto"/>
                <w:w w:val="91"/>
              </w:rPr>
              <w:t>Cover Page Interactive Data File (formatted as inline XBRL).</w:t>
            </w:r>
          </w:p>
        </w:tc>
      </w:tr>
    </w:tbl>
    <w:p>
      <w:pPr>
        <w:sectPr>
          <w:pgSz w:w="11900" w:h="16838" w:orient="portrait"/>
          <w:cols w:equalWidth="0" w:num="1">
            <w:col w:w="11000"/>
          </w:cols>
          <w:pgMar w:left="440" w:top="297" w:right="459" w:bottom="1440" w:gutter="0" w:footer="0" w:header="0"/>
        </w:sectPr>
      </w:pPr>
    </w:p>
    <w:bookmarkStart w:id="2" w:name="page3"/>
    <w:bookmarkEnd w:id="2"/>
    <w:p>
      <w:pPr>
        <w:ind w:left="49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55245"/>
                    </a:xfrm>
                    <a:prstGeom prst="rect">
                      <a:avLst/>
                    </a:prstGeom>
                    <a:noFill/>
                  </pic:spPr>
                </pic:pic>
              </a:graphicData>
            </a:graphic>
          </wp:anchor>
        </w:drawing>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ind w:left="6160"/>
        <w:spacing w:after="0"/>
        <w:rPr>
          <w:sz w:val="20"/>
          <w:szCs w:val="20"/>
          <w:color w:val="auto"/>
        </w:rPr>
      </w:pPr>
      <w:r>
        <w:rPr>
          <w:rFonts w:ascii="Arial" w:cs="Arial" w:eastAsia="Arial" w:hAnsi="Arial"/>
          <w:sz w:val="18"/>
          <w:szCs w:val="18"/>
          <w:b w:val="1"/>
          <w:bCs w:val="1"/>
          <w:color w:val="auto"/>
        </w:rPr>
        <w:t>Verrica Pharmaceuticals Inc.</w:t>
      </w:r>
    </w:p>
    <w:p>
      <w:pPr>
        <w:spacing w:after="0" w:line="229" w:lineRule="exact"/>
        <w:rPr>
          <w:sz w:val="20"/>
          <w:szCs w:val="20"/>
          <w:color w:val="auto"/>
        </w:rPr>
      </w:pPr>
    </w:p>
    <w:p>
      <w:pPr>
        <w:spacing w:after="0"/>
        <w:tabs>
          <w:tab w:leader="none" w:pos="6140" w:val="left"/>
        </w:tabs>
        <w:rPr>
          <w:sz w:val="20"/>
          <w:szCs w:val="20"/>
          <w:color w:val="auto"/>
        </w:rPr>
      </w:pPr>
      <w:r>
        <w:rPr>
          <w:rFonts w:ascii="Arial" w:cs="Arial" w:eastAsia="Arial" w:hAnsi="Arial"/>
          <w:sz w:val="18"/>
          <w:szCs w:val="18"/>
          <w:color w:val="auto"/>
        </w:rPr>
        <w:t>Date: May 7, 2021</w:t>
      </w:r>
      <w:r>
        <w:rPr>
          <w:sz w:val="20"/>
          <w:szCs w:val="20"/>
          <w:color w:val="auto"/>
        </w:rPr>
        <w:tab/>
      </w:r>
      <w:r>
        <w:rPr>
          <w:rFonts w:ascii="Arial" w:cs="Arial" w:eastAsia="Arial" w:hAnsi="Arial"/>
          <w:sz w:val="16"/>
          <w:szCs w:val="16"/>
          <w:color w:val="auto"/>
        </w:rPr>
        <w:t>/s/ A. Brian Davis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3914775</wp:posOffset>
            </wp:positionH>
            <wp:positionV relativeFrom="paragraph">
              <wp:posOffset>14605</wp:posOffset>
            </wp:positionV>
            <wp:extent cx="307721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077210" cy="8255"/>
                    </a:xfrm>
                    <a:prstGeom prst="rect">
                      <a:avLst/>
                    </a:prstGeom>
                    <a:noFill/>
                  </pic:spPr>
                </pic:pic>
              </a:graphicData>
            </a:graphic>
          </wp:anchor>
        </w:drawing>
      </w:r>
    </w:p>
    <w:p>
      <w:pPr>
        <w:spacing w:after="0" w:line="16" w:lineRule="exact"/>
        <w:rPr>
          <w:sz w:val="20"/>
          <w:szCs w:val="20"/>
          <w:color w:val="auto"/>
        </w:rPr>
      </w:pPr>
    </w:p>
    <w:p>
      <w:pPr>
        <w:ind w:left="6160"/>
        <w:spacing w:after="0"/>
        <w:rPr>
          <w:sz w:val="20"/>
          <w:szCs w:val="20"/>
          <w:color w:val="auto"/>
        </w:rPr>
      </w:pPr>
      <w:r>
        <w:rPr>
          <w:rFonts w:ascii="Arial" w:cs="Arial" w:eastAsia="Arial" w:hAnsi="Arial"/>
          <w:sz w:val="18"/>
          <w:szCs w:val="18"/>
          <w:color w:val="auto"/>
        </w:rPr>
        <w:t>A. Brian Davis</w:t>
      </w:r>
    </w:p>
    <w:p>
      <w:pPr>
        <w:spacing w:after="0" w:line="23" w:lineRule="exact"/>
        <w:rPr>
          <w:sz w:val="20"/>
          <w:szCs w:val="20"/>
          <w:color w:val="auto"/>
        </w:rPr>
      </w:pPr>
    </w:p>
    <w:p>
      <w:pPr>
        <w:ind w:left="616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0260"/>
          </w:cols>
          <w:pgMar w:left="440" w:top="297" w:right="119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2663190</wp:posOffset>
            </wp:positionH>
            <wp:positionV relativeFrom="paragraph">
              <wp:posOffset>171450</wp:posOffset>
            </wp:positionV>
            <wp:extent cx="1663065" cy="4546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663065" cy="4546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Verrica Pharmaceuticals Reports First Quarter 2021 Financial Results</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6"/>
          <w:szCs w:val="16"/>
          <w:i w:val="1"/>
          <w:iCs w:val="1"/>
          <w:color w:val="auto"/>
        </w:rPr>
        <w:t>– Expanded commercial team in preparation for potential FDA approval of VP-102 for the treatment of molluscum, which has been assigned a PDUFA</w:t>
      </w:r>
    </w:p>
    <w:p>
      <w:pPr>
        <w:spacing w:after="0" w:line="46" w:lineRule="exact"/>
        <w:rPr>
          <w:sz w:val="20"/>
          <w:szCs w:val="20"/>
          <w:color w:val="auto"/>
        </w:rPr>
      </w:pPr>
    </w:p>
    <w:p>
      <w:pPr>
        <w:ind w:left="4480"/>
        <w:spacing w:after="0"/>
        <w:rPr>
          <w:sz w:val="20"/>
          <w:szCs w:val="20"/>
          <w:color w:val="auto"/>
        </w:rPr>
      </w:pPr>
      <w:r>
        <w:rPr>
          <w:rFonts w:ascii="Arial" w:cs="Arial" w:eastAsia="Arial" w:hAnsi="Arial"/>
          <w:sz w:val="18"/>
          <w:szCs w:val="18"/>
          <w:i w:val="1"/>
          <w:iCs w:val="1"/>
          <w:color w:val="auto"/>
        </w:rPr>
        <w:t>goal date of June 23, 2021 –</w:t>
      </w:r>
    </w:p>
    <w:p>
      <w:pPr>
        <w:spacing w:after="0" w:line="102" w:lineRule="exact"/>
        <w:rPr>
          <w:sz w:val="20"/>
          <w:szCs w:val="20"/>
          <w:color w:val="auto"/>
        </w:rPr>
      </w:pPr>
    </w:p>
    <w:p>
      <w:pPr>
        <w:ind w:left="1960"/>
        <w:spacing w:after="0"/>
        <w:rPr>
          <w:sz w:val="20"/>
          <w:szCs w:val="20"/>
          <w:color w:val="auto"/>
        </w:rPr>
      </w:pPr>
      <w:r>
        <w:rPr>
          <w:rFonts w:ascii="Arial" w:cs="Arial" w:eastAsia="Arial" w:hAnsi="Arial"/>
          <w:sz w:val="18"/>
          <w:szCs w:val="18"/>
          <w:i w:val="1"/>
          <w:iCs w:val="1"/>
          <w:color w:val="auto"/>
        </w:rPr>
        <w:t>– Raised approximately $30 million, before offering expenses, in an underwritten public offering –</w:t>
      </w:r>
    </w:p>
    <w:p>
      <w:pPr>
        <w:spacing w:after="0" w:line="117" w:lineRule="exact"/>
        <w:rPr>
          <w:sz w:val="20"/>
          <w:szCs w:val="20"/>
          <w:color w:val="auto"/>
        </w:rPr>
      </w:pPr>
    </w:p>
    <w:p>
      <w:pPr>
        <w:ind w:left="260"/>
        <w:spacing w:after="0"/>
        <w:rPr>
          <w:sz w:val="20"/>
          <w:szCs w:val="20"/>
          <w:color w:val="auto"/>
        </w:rPr>
      </w:pPr>
      <w:r>
        <w:rPr>
          <w:rFonts w:ascii="Arial" w:cs="Arial" w:eastAsia="Arial" w:hAnsi="Arial"/>
          <w:sz w:val="16"/>
          <w:szCs w:val="16"/>
          <w:i w:val="1"/>
          <w:iCs w:val="1"/>
          <w:color w:val="auto"/>
        </w:rPr>
        <w:t>– Granted Torii Pharmaceutical Co., Ltd. an exclusive license to develop and commercialize VP-102 for molluscum and common warts in Japan;</w:t>
      </w:r>
    </w:p>
    <w:p>
      <w:pPr>
        <w:spacing w:after="0" w:line="46" w:lineRule="exact"/>
        <w:rPr>
          <w:sz w:val="20"/>
          <w:szCs w:val="20"/>
          <w:color w:val="auto"/>
        </w:rPr>
      </w:pPr>
    </w:p>
    <w:p>
      <w:pPr>
        <w:ind w:left="2780"/>
        <w:spacing w:after="0"/>
        <w:rPr>
          <w:sz w:val="20"/>
          <w:szCs w:val="20"/>
          <w:color w:val="auto"/>
        </w:rPr>
      </w:pPr>
      <w:r>
        <w:rPr>
          <w:rFonts w:ascii="Arial" w:cs="Arial" w:eastAsia="Arial" w:hAnsi="Arial"/>
          <w:sz w:val="18"/>
          <w:szCs w:val="18"/>
          <w:i w:val="1"/>
          <w:iCs w:val="1"/>
          <w:color w:val="auto"/>
        </w:rPr>
        <w:t>Company recognized license revenues of $12.0 million in the first quarter –</w:t>
      </w:r>
    </w:p>
    <w:p>
      <w:pPr>
        <w:spacing w:after="0" w:line="211" w:lineRule="exact"/>
        <w:rPr>
          <w:sz w:val="20"/>
          <w:szCs w:val="20"/>
          <w:color w:val="auto"/>
        </w:rPr>
      </w:pPr>
    </w:p>
    <w:p>
      <w:pPr>
        <w:ind w:right="80"/>
        <w:spacing w:after="0" w:line="263" w:lineRule="auto"/>
        <w:rPr>
          <w:sz w:val="20"/>
          <w:szCs w:val="20"/>
          <w:color w:val="auto"/>
        </w:rPr>
      </w:pPr>
      <w:r>
        <w:rPr>
          <w:rFonts w:ascii="Arial" w:cs="Arial" w:eastAsia="Arial" w:hAnsi="Arial"/>
          <w:sz w:val="18"/>
          <w:szCs w:val="18"/>
          <w:color w:val="auto"/>
        </w:rPr>
        <w:t>WEST CHESTER, PA – May 7, 2021 (GLOBE NEWSWIRE) – Verrica Pharmaceuticals Inc. (“Verrica”) (Nasdaq: VRCA), a dermatology therapeutics company developing medications for skin diseases requiring medical interventions, today announced financial results for the first quarter ended March 31, 2021.</w:t>
      </w:r>
    </w:p>
    <w:p>
      <w:pPr>
        <w:spacing w:after="0" w:line="184" w:lineRule="exact"/>
        <w:rPr>
          <w:sz w:val="20"/>
          <w:szCs w:val="20"/>
          <w:color w:val="auto"/>
        </w:rPr>
      </w:pPr>
    </w:p>
    <w:p>
      <w:pPr>
        <w:ind w:right="460"/>
        <w:spacing w:after="0" w:line="259" w:lineRule="auto"/>
        <w:rPr>
          <w:sz w:val="20"/>
          <w:szCs w:val="20"/>
          <w:color w:val="auto"/>
        </w:rPr>
      </w:pPr>
      <w:r>
        <w:rPr>
          <w:rFonts w:ascii="Arial" w:cs="Arial" w:eastAsia="Arial" w:hAnsi="Arial"/>
          <w:sz w:val="18"/>
          <w:szCs w:val="18"/>
          <w:color w:val="auto"/>
        </w:rPr>
        <w:t>“This is a significant time for the Company as we ramp up our commercial readiness plans in preparation for potential FDA approval this year of VP-102 for the treatment of molluscum, a common, highly contagious skin disease with no FDA-approved treatments,” said Ted White, Verrica’s President and Chief Executive Officer. “In parallel, we strengthened our financial position, raising funds and generating licensing revenues that we believe will support planned operations at least through the second quarter of 2023.”</w:t>
      </w:r>
    </w:p>
    <w:p>
      <w:pPr>
        <w:spacing w:after="0" w:line="187" w:lineRule="exact"/>
        <w:rPr>
          <w:sz w:val="20"/>
          <w:szCs w:val="20"/>
          <w:color w:val="auto"/>
        </w:rPr>
      </w:pPr>
    </w:p>
    <w:p>
      <w:pPr>
        <w:ind w:right="120"/>
        <w:spacing w:after="0" w:line="308" w:lineRule="auto"/>
        <w:rPr>
          <w:sz w:val="20"/>
          <w:szCs w:val="20"/>
          <w:color w:val="auto"/>
        </w:rPr>
      </w:pPr>
      <w:r>
        <w:rPr>
          <w:rFonts w:ascii="Arial" w:cs="Arial" w:eastAsia="Arial" w:hAnsi="Arial"/>
          <w:sz w:val="17"/>
          <w:szCs w:val="17"/>
          <w:color w:val="auto"/>
        </w:rPr>
        <w:t>Ted White continued: “Further, we expanded our global reach by granting Torii an exclusive license to develop and commercialize VP-102 in Japan for the treatment of molluscum and common warts, executing the first strategic step in potentially bringing VP-102 to global markets.”</w:t>
      </w: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Highlights and Recent Developments</w:t>
      </w:r>
    </w:p>
    <w:p>
      <w:pPr>
        <w:spacing w:after="0" w:line="135" w:lineRule="exact"/>
        <w:rPr>
          <w:sz w:val="20"/>
          <w:szCs w:val="20"/>
          <w:color w:val="auto"/>
        </w:rPr>
      </w:pPr>
    </w:p>
    <w:p>
      <w:pPr>
        <w:ind w:left="960" w:right="20" w:hanging="424"/>
        <w:spacing w:after="0" w:line="301" w:lineRule="auto"/>
        <w:tabs>
          <w:tab w:leader="none" w:pos="960" w:val="left"/>
        </w:tabs>
        <w:numPr>
          <w:ilvl w:val="0"/>
          <w:numId w:val="3"/>
        </w:numPr>
        <w:rPr>
          <w:rFonts w:ascii="Arial" w:cs="Arial" w:eastAsia="Arial" w:hAnsi="Arial"/>
          <w:sz w:val="16"/>
          <w:szCs w:val="16"/>
          <w:color w:val="auto"/>
        </w:rPr>
      </w:pPr>
      <w:r>
        <w:rPr>
          <w:rFonts w:ascii="Arial" w:cs="Arial" w:eastAsia="Arial" w:hAnsi="Arial"/>
          <w:sz w:val="16"/>
          <w:szCs w:val="16"/>
          <w:color w:val="auto"/>
        </w:rPr>
        <w:t>The Company continued to expand its U.S. commercial operations during the quarter in preparation for the potential FDA approval of VP-102 (cantharidin 0.7% Topical Solution), and has made key hires in marketing, sales and payor functions to support product launch and commercialization. The Company has been assigned a Prescription Drug User Fee Act (PDUFA) goal date of June 23, 2021 for its NDA for VP-102. If approved, VP-102 will be marketed in the United States under the conditionally accepted brand name YCANTH</w:t>
      </w:r>
      <w:r>
        <w:rPr>
          <w:rFonts w:ascii="Arial" w:cs="Arial" w:eastAsia="Arial" w:hAnsi="Arial"/>
          <w:sz w:val="13"/>
          <w:szCs w:val="13"/>
          <w:color w:val="auto"/>
        </w:rPr>
        <w:t>™</w:t>
      </w:r>
      <w:r>
        <w:rPr>
          <w:rFonts w:ascii="Arial" w:cs="Arial" w:eastAsia="Arial" w:hAnsi="Arial"/>
          <w:sz w:val="16"/>
          <w:szCs w:val="16"/>
          <w:color w:val="auto"/>
        </w:rPr>
        <w:t>.</w:t>
      </w:r>
    </w:p>
    <w:p>
      <w:pPr>
        <w:spacing w:after="0" w:line="62" w:lineRule="exact"/>
        <w:rPr>
          <w:rFonts w:ascii="Arial" w:cs="Arial" w:eastAsia="Arial" w:hAnsi="Arial"/>
          <w:sz w:val="16"/>
          <w:szCs w:val="16"/>
          <w:color w:val="auto"/>
        </w:rPr>
      </w:pPr>
    </w:p>
    <w:p>
      <w:pPr>
        <w:ind w:left="960" w:right="440" w:hanging="424"/>
        <w:spacing w:after="0" w:line="342" w:lineRule="auto"/>
        <w:tabs>
          <w:tab w:leader="none" w:pos="960" w:val="left"/>
        </w:tabs>
        <w:numPr>
          <w:ilvl w:val="0"/>
          <w:numId w:val="3"/>
        </w:numPr>
        <w:rPr>
          <w:rFonts w:ascii="Arial" w:cs="Arial" w:eastAsia="Arial" w:hAnsi="Arial"/>
          <w:sz w:val="16"/>
          <w:szCs w:val="16"/>
          <w:color w:val="auto"/>
        </w:rPr>
      </w:pPr>
      <w:r>
        <w:rPr>
          <w:rFonts w:ascii="Arial" w:cs="Arial" w:eastAsia="Arial" w:hAnsi="Arial"/>
          <w:sz w:val="16"/>
          <w:szCs w:val="16"/>
          <w:color w:val="auto"/>
        </w:rPr>
        <w:t>On March 25, the Company closed an underwritten public offering of 2,033,899 shares of its common stock at a price to the public of $14.75 per share. The gross proceeds from the offering to Verrica were approximately $30.0 million, before offering expenses.</w:t>
      </w:r>
    </w:p>
    <w:p>
      <w:pPr>
        <w:sectPr>
          <w:pgSz w:w="11900" w:h="16838" w:orient="portrait"/>
          <w:cols w:equalWidth="0" w:num="1">
            <w:col w:w="11020"/>
          </w:cols>
          <w:pgMar w:left="440" w:top="121" w:right="439" w:bottom="1440" w:gutter="0" w:footer="0" w:header="0"/>
        </w:sectPr>
      </w:pPr>
    </w:p>
    <w:bookmarkStart w:id="4" w:name="page5"/>
    <w:bookmarkEnd w:id="4"/>
    <w:p>
      <w:pPr>
        <w:ind w:left="960" w:hanging="424"/>
        <w:spacing w:after="0" w:line="273" w:lineRule="auto"/>
        <w:tabs>
          <w:tab w:leader="none" w:pos="960" w:val="left"/>
        </w:tabs>
        <w:numPr>
          <w:ilvl w:val="0"/>
          <w:numId w:val="4"/>
        </w:numPr>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The Company entered into a Collaboration and License Agreement (the “Torii Agreement”) with Torii Pharmaceutical Co., Ltd. (“Torii”) granting Torii an exclusive license to develop and commercialize VP-102 in Japan for the treatment of molluscum and common warts. Under the terms of the Agreement, Torii made an up-front payment of $11.5 million to Verrica and has also agreed to make up to an additional $58 million in aggregate payments contingent on achievement of specified development, regulatory, and sales milestones. Torii will also make tiered transfer price payments for supply of product in the range of the mid-30s to mid-40s as a percent of net sales. Torii is responsible for all development activities and costs in support of obtaining regulatory approval in Japan.</w:t>
      </w:r>
    </w:p>
    <w:p>
      <w:pPr>
        <w:spacing w:after="0" w:line="83" w:lineRule="exact"/>
        <w:rPr>
          <w:rFonts w:ascii="Arial" w:cs="Arial" w:eastAsia="Arial" w:hAnsi="Arial"/>
          <w:sz w:val="17"/>
          <w:szCs w:val="17"/>
          <w:color w:val="auto"/>
        </w:rPr>
      </w:pPr>
    </w:p>
    <w:p>
      <w:pPr>
        <w:ind w:left="960" w:right="320" w:hanging="424"/>
        <w:spacing w:after="0" w:line="277" w:lineRule="auto"/>
        <w:tabs>
          <w:tab w:leader="none" w:pos="960" w:val="left"/>
        </w:tabs>
        <w:numPr>
          <w:ilvl w:val="0"/>
          <w:numId w:val="4"/>
        </w:numPr>
        <w:rPr>
          <w:rFonts w:ascii="Arial" w:cs="Arial" w:eastAsia="Arial" w:hAnsi="Arial"/>
          <w:sz w:val="18"/>
          <w:szCs w:val="18"/>
          <w:color w:val="auto"/>
        </w:rPr>
      </w:pPr>
      <w:r>
        <w:rPr>
          <w:rFonts w:ascii="Arial" w:cs="Arial" w:eastAsia="Arial" w:hAnsi="Arial"/>
          <w:sz w:val="18"/>
          <w:szCs w:val="18"/>
          <w:color w:val="auto"/>
        </w:rPr>
        <w:t xml:space="preserve">Positive pooled results from the pivotal CAMP trials evaluating the safety and efficacy of VP-102 in the treatment of molluscum were published in the March 2021 issue of the </w:t>
      </w:r>
      <w:r>
        <w:rPr>
          <w:rFonts w:ascii="Arial" w:cs="Arial" w:eastAsia="Arial" w:hAnsi="Arial"/>
          <w:sz w:val="18"/>
          <w:szCs w:val="18"/>
          <w:i w:val="1"/>
          <w:iCs w:val="1"/>
          <w:color w:val="auto"/>
        </w:rPr>
        <w:t>American Journal of Clinical Dermatology</w:t>
      </w:r>
      <w:r>
        <w:rPr>
          <w:rFonts w:ascii="Arial" w:cs="Arial" w:eastAsia="Arial" w:hAnsi="Arial"/>
          <w:sz w:val="18"/>
          <w:szCs w:val="18"/>
          <w:color w:val="auto"/>
        </w:rPr>
        <w:t>.</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Results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First Quarter 2021 Financial Results</w:t>
      </w:r>
    </w:p>
    <w:p>
      <w:pPr>
        <w:spacing w:after="0" w:line="131" w:lineRule="exact"/>
        <w:rPr>
          <w:sz w:val="20"/>
          <w:szCs w:val="20"/>
          <w:color w:val="auto"/>
        </w:rPr>
      </w:pPr>
    </w:p>
    <w:p>
      <w:pPr>
        <w:ind w:left="960" w:right="360" w:hanging="424"/>
        <w:spacing w:after="0" w:line="277" w:lineRule="auto"/>
        <w:tabs>
          <w:tab w:leader="none" w:pos="960" w:val="left"/>
        </w:tabs>
        <w:numPr>
          <w:ilvl w:val="0"/>
          <w:numId w:val="5"/>
        </w:numPr>
        <w:rPr>
          <w:rFonts w:ascii="Arial" w:cs="Arial" w:eastAsia="Arial" w:hAnsi="Arial"/>
          <w:sz w:val="18"/>
          <w:szCs w:val="18"/>
          <w:color w:val="auto"/>
        </w:rPr>
      </w:pPr>
      <w:r>
        <w:rPr>
          <w:rFonts w:ascii="Arial" w:cs="Arial" w:eastAsia="Arial" w:hAnsi="Arial"/>
          <w:sz w:val="18"/>
          <w:szCs w:val="18"/>
          <w:color w:val="auto"/>
        </w:rPr>
        <w:t>Verrica recognized license revenues of $12.0 million in the first quarter of 2021 related to the Torii Agreement. There were no license revenues recognized in 2020.</w:t>
      </w:r>
    </w:p>
    <w:p>
      <w:pPr>
        <w:spacing w:after="0" w:line="75" w:lineRule="exact"/>
        <w:rPr>
          <w:rFonts w:ascii="Arial" w:cs="Arial" w:eastAsia="Arial" w:hAnsi="Arial"/>
          <w:sz w:val="18"/>
          <w:szCs w:val="18"/>
          <w:color w:val="auto"/>
        </w:rPr>
      </w:pPr>
    </w:p>
    <w:p>
      <w:pPr>
        <w:jc w:val="both"/>
        <w:ind w:left="960" w:right="100" w:hanging="424"/>
        <w:spacing w:after="0" w:line="301" w:lineRule="auto"/>
        <w:tabs>
          <w:tab w:leader="none" w:pos="960" w:val="left"/>
        </w:tabs>
        <w:numPr>
          <w:ilvl w:val="0"/>
          <w:numId w:val="5"/>
        </w:numPr>
        <w:rPr>
          <w:rFonts w:ascii="Arial" w:cs="Arial" w:eastAsia="Arial" w:hAnsi="Arial"/>
          <w:sz w:val="16"/>
          <w:szCs w:val="16"/>
          <w:color w:val="auto"/>
        </w:rPr>
      </w:pPr>
      <w:r>
        <w:rPr>
          <w:rFonts w:ascii="Arial" w:cs="Arial" w:eastAsia="Arial" w:hAnsi="Arial"/>
          <w:sz w:val="16"/>
          <w:szCs w:val="16"/>
          <w:color w:val="auto"/>
        </w:rPr>
        <w:t>Research and development expenses were $5.4 million in the first quarter of 2021, compared to $4.9 million for the same period in 2020. The increase was primarily attributable to a one-time $2.3 million milestone payment to Lytix Biopharma AS upon the achievement of a regulatory milestone for LTX-315, partially offset by decreased Chemistry, Manufacturing and Controls (CMC) and clinical costs related to Verrica’s development of VP-102 for molluscum contagiosum, external genital warts, and common warts in 2020.</w:t>
      </w:r>
    </w:p>
    <w:p>
      <w:pPr>
        <w:spacing w:after="0" w:line="62" w:lineRule="exact"/>
        <w:rPr>
          <w:rFonts w:ascii="Arial" w:cs="Arial" w:eastAsia="Arial" w:hAnsi="Arial"/>
          <w:sz w:val="16"/>
          <w:szCs w:val="16"/>
          <w:color w:val="auto"/>
        </w:rPr>
      </w:pPr>
    </w:p>
    <w:p>
      <w:pPr>
        <w:ind w:left="960" w:right="80" w:hanging="424"/>
        <w:spacing w:after="0" w:line="263" w:lineRule="auto"/>
        <w:tabs>
          <w:tab w:leader="none" w:pos="960" w:val="left"/>
        </w:tabs>
        <w:numPr>
          <w:ilvl w:val="0"/>
          <w:numId w:val="5"/>
        </w:numPr>
        <w:rPr>
          <w:rFonts w:ascii="Arial" w:cs="Arial" w:eastAsia="Arial" w:hAnsi="Arial"/>
          <w:sz w:val="18"/>
          <w:szCs w:val="18"/>
          <w:color w:val="auto"/>
        </w:rPr>
      </w:pPr>
      <w:r>
        <w:rPr>
          <w:rFonts w:ascii="Arial" w:cs="Arial" w:eastAsia="Arial" w:hAnsi="Arial"/>
          <w:sz w:val="18"/>
          <w:szCs w:val="18"/>
          <w:color w:val="auto"/>
        </w:rPr>
        <w:t>General and administrative expenses were $6.6 million in the first quarter of 2021, compared to $5.0 million for the same period in 2020. The increase was primarily a result of expenses related to increased headcount, an increase in insurance, professional fees and other operating costs, and an increase in expenses related to pre-commercial activities for VP-102.</w:t>
      </w:r>
    </w:p>
    <w:p>
      <w:pPr>
        <w:spacing w:after="0" w:line="89" w:lineRule="exact"/>
        <w:rPr>
          <w:rFonts w:ascii="Arial" w:cs="Arial" w:eastAsia="Arial" w:hAnsi="Arial"/>
          <w:sz w:val="18"/>
          <w:szCs w:val="18"/>
          <w:color w:val="auto"/>
        </w:rPr>
      </w:pPr>
    </w:p>
    <w:p>
      <w:pPr>
        <w:ind w:left="960" w:right="340" w:hanging="424"/>
        <w:spacing w:after="0" w:line="277" w:lineRule="auto"/>
        <w:tabs>
          <w:tab w:leader="none" w:pos="960" w:val="left"/>
        </w:tabs>
        <w:numPr>
          <w:ilvl w:val="0"/>
          <w:numId w:val="5"/>
        </w:numPr>
        <w:rPr>
          <w:rFonts w:ascii="Arial" w:cs="Arial" w:eastAsia="Arial" w:hAnsi="Arial"/>
          <w:sz w:val="18"/>
          <w:szCs w:val="18"/>
          <w:color w:val="auto"/>
        </w:rPr>
      </w:pPr>
      <w:r>
        <w:rPr>
          <w:rFonts w:ascii="Arial" w:cs="Arial" w:eastAsia="Arial" w:hAnsi="Arial"/>
          <w:sz w:val="18"/>
          <w:szCs w:val="18"/>
          <w:color w:val="auto"/>
        </w:rPr>
        <w:t>For the first quarter of 2021, net loss on a GAAP basis was $0.9 million, or $0.04 per share, compared to a net loss of $9.8 million, or $0.39 per share, for the same period in 2020.</w:t>
      </w:r>
    </w:p>
    <w:p>
      <w:pPr>
        <w:spacing w:after="0" w:line="75" w:lineRule="exact"/>
        <w:rPr>
          <w:rFonts w:ascii="Arial" w:cs="Arial" w:eastAsia="Arial" w:hAnsi="Arial"/>
          <w:sz w:val="18"/>
          <w:szCs w:val="18"/>
          <w:color w:val="auto"/>
        </w:rPr>
      </w:pPr>
    </w:p>
    <w:p>
      <w:pPr>
        <w:ind w:left="960" w:right="820" w:hanging="424"/>
        <w:spacing w:after="0" w:line="277" w:lineRule="auto"/>
        <w:tabs>
          <w:tab w:leader="none" w:pos="960" w:val="left"/>
        </w:tabs>
        <w:numPr>
          <w:ilvl w:val="0"/>
          <w:numId w:val="5"/>
        </w:numPr>
        <w:rPr>
          <w:rFonts w:ascii="Arial" w:cs="Arial" w:eastAsia="Arial" w:hAnsi="Arial"/>
          <w:sz w:val="18"/>
          <w:szCs w:val="18"/>
          <w:color w:val="auto"/>
        </w:rPr>
      </w:pPr>
      <w:r>
        <w:rPr>
          <w:rFonts w:ascii="Arial" w:cs="Arial" w:eastAsia="Arial" w:hAnsi="Arial"/>
          <w:sz w:val="18"/>
          <w:szCs w:val="18"/>
          <w:color w:val="auto"/>
        </w:rPr>
        <w:t>For the first quarter of 2021, non-GAAP net income was $0.6 million, or $0.02 per share, compared to a non-GAAP net loss of $8.8 million, or $0.35 per share, for the same period in 2020.</w:t>
      </w:r>
    </w:p>
    <w:p>
      <w:pPr>
        <w:spacing w:after="0" w:line="75" w:lineRule="exact"/>
        <w:rPr>
          <w:rFonts w:ascii="Arial" w:cs="Arial" w:eastAsia="Arial" w:hAnsi="Arial"/>
          <w:sz w:val="18"/>
          <w:szCs w:val="18"/>
          <w:color w:val="auto"/>
        </w:rPr>
      </w:pPr>
    </w:p>
    <w:p>
      <w:pPr>
        <w:ind w:left="960" w:hanging="424"/>
        <w:spacing w:after="0" w:line="259" w:lineRule="auto"/>
        <w:tabs>
          <w:tab w:leader="none" w:pos="9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As of March 31, 2021, Verrica had aggregate cash, cash equivalents, and marketable securities of $87.7 million. The Company believes that its existing cash, cash equivalents, and marketable securities as of March 31, 2021, combined with the $11.5 million up-front payment received pursuant to the Torii Agreement in April 2021, will be sufficient to support planned operations at least through the second quarter of 2023.</w:t>
      </w:r>
    </w:p>
    <w:p>
      <w:pPr>
        <w:sectPr>
          <w:pgSz w:w="11900" w:h="16838" w:orient="portrait"/>
          <w:cols w:equalWidth="0" w:num="1">
            <w:col w:w="10940"/>
          </w:cols>
          <w:pgMar w:left="440" w:top="274" w:right="51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Non-GAAP Financial Measures</w:t>
      </w:r>
    </w:p>
    <w:p>
      <w:pPr>
        <w:spacing w:after="0" w:line="121"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In evaluating the operating performance of its business, Verrica’s management considers non-GAAP income from operations, non-GAAP net income (loss) and non-GAAP net income (loss) per share. These non-GAAP financial measures exclude stock-based compensation charges and non-cash interest expense that are required by GAAP. Verrica believes that non-GAAP income from operations, non-GAAP net income (loss) and non-GAAP net income (loss) per share provides useful information to both management and investors by excluding the effect of certain non-cash expenses and items that Verrica believes may not be indicative of its operating performance, because either they are unusual and Verrica does not expect them to recur in the ordinary course of its business, or they are unrelated to the ongoing operation of the business in the ordinary course. non-GAAP income from operations, non-GAAP net income (loss) and non-GAAP net income (loss) per share should be considered in addition to results prepared in accordance with GAAP, but should not be considered a substitute for, or superior to, GAAP results. Non-GAAP income from operations, non-GAAP net income (loss) and non-GAAP net income (loss) per share have been reconciled to the nearest GAAP measure in the tables following the financial statements in this press release.</w:t>
      </w:r>
    </w:p>
    <w:p>
      <w:pPr>
        <w:spacing w:after="0" w:line="2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VP-102</w:t>
      </w:r>
    </w:p>
    <w:p>
      <w:pPr>
        <w:spacing w:after="0" w:line="121" w:lineRule="exact"/>
        <w:rPr>
          <w:sz w:val="20"/>
          <w:szCs w:val="20"/>
          <w:color w:val="auto"/>
        </w:rPr>
      </w:pPr>
    </w:p>
    <w:p>
      <w:pPr>
        <w:ind w:right="80"/>
        <w:spacing w:after="0" w:line="254" w:lineRule="auto"/>
        <w:rPr>
          <w:sz w:val="20"/>
          <w:szCs w:val="20"/>
          <w:color w:val="auto"/>
        </w:rPr>
      </w:pPr>
      <w:r>
        <w:rPr>
          <w:rFonts w:ascii="Arial" w:cs="Arial" w:eastAsia="Arial" w:hAnsi="Arial"/>
          <w:sz w:val="18"/>
          <w:szCs w:val="18"/>
          <w:color w:val="auto"/>
        </w:rPr>
        <w:t>Verrica’s lead product candidate, VP-102, is a proprietary drug-device combination product that contains a GMP-controlled formulation of cantharidin (0.7% w/v) delivered via a single-use applicator that allows for precise topical dosing and targeted administration. VP-102 is currently under U.S. Food and Drug Administration (FDA) review, with a PDUFA goal date of June 23, 2021, and could potentially be the first product approved by the FDA to treat molluscum contagiosum — a common, highly contagious skin disease that affects an estimated six million people in the United States, primarily children. If approved, VP-102 will be marketed in the United States under the conditionally accepted brand name YCANTH</w:t>
      </w:r>
      <w:r>
        <w:rPr>
          <w:rFonts w:ascii="Arial" w:cs="Arial" w:eastAsia="Arial" w:hAnsi="Arial"/>
          <w:sz w:val="15"/>
          <w:szCs w:val="15"/>
          <w:color w:val="auto"/>
        </w:rPr>
        <w:t>™</w:t>
      </w:r>
      <w:r>
        <w:rPr>
          <w:rFonts w:ascii="Arial" w:cs="Arial" w:eastAsia="Arial" w:hAnsi="Arial"/>
          <w:sz w:val="18"/>
          <w:szCs w:val="18"/>
          <w:color w:val="auto"/>
        </w:rPr>
        <w:t>. In addition, Verrica has successfully completed a Phase 2 study of VP-102 for the treatment of common warts and a Phase 2 study of VP-102 for the treatment of external genital warts.</w:t>
      </w:r>
    </w:p>
    <w:p>
      <w:pPr>
        <w:spacing w:after="0" w:line="2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Molluscum Contagiosum (Molluscum)</w:t>
      </w:r>
    </w:p>
    <w:p>
      <w:pPr>
        <w:spacing w:after="0" w:line="121" w:lineRule="exact"/>
        <w:rPr>
          <w:sz w:val="20"/>
          <w:szCs w:val="20"/>
          <w:color w:val="auto"/>
        </w:rPr>
      </w:pPr>
    </w:p>
    <w:p>
      <w:pPr>
        <w:ind w:right="80"/>
        <w:spacing w:after="0" w:line="255" w:lineRule="auto"/>
        <w:rPr>
          <w:sz w:val="20"/>
          <w:szCs w:val="20"/>
          <w:color w:val="auto"/>
        </w:rPr>
      </w:pPr>
      <w:r>
        <w:rPr>
          <w:rFonts w:ascii="Arial" w:cs="Arial" w:eastAsia="Arial" w:hAnsi="Arial"/>
          <w:sz w:val="18"/>
          <w:szCs w:val="18"/>
          <w:color w:val="auto"/>
        </w:rPr>
        <w:t>There are currently no FDA-approved treatments for molluscum, a highly contagious viral skin disease that affects approximately six million people — primarily children — in the United States. Molluscum is caused by a pox virus that produces distinctive raised, skin-toned-to-pink-colored lesions that can cause pain, inflammation, itching and bacterial infection. It is easily transmitted through direct skin-to-skin contact or through fomites (objects that carry the disease like toys, towels or wet surfaces) and can spread to other parts of the body or to other people, including siblings. The lesions can be found on most areas of the body and may carry substantial social stigma. Without treatment, molluscum can last for an average of 13 months, and in some cases, up to several years.</w:t>
      </w:r>
    </w:p>
    <w:p>
      <w:pPr>
        <w:sectPr>
          <w:pgSz w:w="11900" w:h="16838" w:orient="portrait"/>
          <w:cols w:equalWidth="0" w:num="1">
            <w:col w:w="10980"/>
          </w:cols>
          <w:pgMar w:left="440" w:top="270" w:right="479" w:bottom="1440" w:gutter="0" w:footer="0" w:header="0"/>
        </w:sectPr>
      </w:pPr>
    </w:p>
    <w:bookmarkStart w:id="6" w:name="page7"/>
    <w:bookmarkEnd w:id="6"/>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About Verrica Pharmaceuticals Inc.</w:t>
      </w:r>
    </w:p>
    <w:p>
      <w:pPr>
        <w:spacing w:after="0" w:line="121" w:lineRule="exact"/>
        <w:rPr>
          <w:sz w:val="20"/>
          <w:szCs w:val="20"/>
          <w:color w:val="auto"/>
        </w:rPr>
      </w:pPr>
    </w:p>
    <w:p>
      <w:pPr>
        <w:ind w:right="200"/>
        <w:spacing w:after="0" w:line="257" w:lineRule="auto"/>
        <w:rPr>
          <w:sz w:val="20"/>
          <w:szCs w:val="20"/>
          <w:color w:val="auto"/>
        </w:rPr>
      </w:pPr>
      <w:r>
        <w:rPr>
          <w:rFonts w:ascii="Arial" w:cs="Arial" w:eastAsia="Arial" w:hAnsi="Arial"/>
          <w:sz w:val="18"/>
          <w:szCs w:val="18"/>
          <w:color w:val="auto"/>
        </w:rPr>
        <w:t>Verrica is a dermatology therapeutics company developing medications for skin diseases requiring medical interventions. Verrica’s late-stage product candidate, VP-102, is in development to treat molluscum, common warts and external genital warts, three of the largest unmet needs in medical dermatology. Verrica is also developing VP-103, its second cantharidin-based product candidate, for the treatment of plantar warts. The Company has also entered a worldwide license agreement with Lytix Biopharma AS to develop and commercialize LTX-315 for dermatologic oncology conditions. For more information, visit www.verrica.com.</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Any statements contained in this press release that do not describe historical facts may constitute forward-looking statements as that term is defined in the Private Securities Litigation Reform Act of 1995. These statements may be identified by words such as “believe,” “expect,” “may,” “plan,” “potential,” “will,” and similar expressions, and are based on Verrica’s current beliefs and expectations. These forward-looking statements include expectations regarding the Company’s expectations with regard to the potential approval of the NDA for VP-102 and the potential benefits and potential commercialization of VP-102 for the treatment of molluscum, if approved, the clinical development of Verrica’s VP-102 for additional indications and Verrica’s other product candidates, , and Verrica’s cash, cash equivalents and marketable securities being sufficient to support planned operations at least through the second quarter of 2023. These statements involve risks and uncertainties that could cause actual results to differ materially from those reflected in such statements. Risks and uncertainties that may cause actual results to differ materially include uncertainties inherent in the drug development process and the regulatory approval process, Verrica’s reliance on third parties over which it may not always have full control, uncertainties related to the COVID-19 pandemic and other risks and uncertainties that are described in Verrica’s Annual Report on Form 10-K for the year ended December 31, 2020 and other filings Verrica makes with the U.S. Securities and Exchange Commission. Any forward-looking statements speak only as of the date of this press release and are based on information available to Verrica as of the date of this release, and Verrica assumes no obligation to, and does not intend to, update any forward-looking statements, whether as a result of new information, future events or otherwise.</w:t>
      </w: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VERRICA PHARMACEUTICALS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Condensed Statements of Operations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 in thousands except share and per share data)</w:t>
      </w:r>
    </w:p>
    <w:p>
      <w:pPr>
        <w:spacing w:after="0" w:line="229" w:lineRule="exact"/>
        <w:rPr>
          <w:sz w:val="20"/>
          <w:szCs w:val="20"/>
          <w:color w:val="auto"/>
        </w:rPr>
      </w:pPr>
    </w:p>
    <w:tbl>
      <w:tblPr>
        <w:tblLayout w:type="fixed"/>
        <w:tblInd w:w="1320" w:type="dxa"/>
        <w:tblCellMar>
          <w:top w:w="0" w:type="dxa"/>
          <w:left w:w="0" w:type="dxa"/>
          <w:bottom w:w="0" w:type="dxa"/>
          <w:right w:w="0" w:type="dxa"/>
        </w:tblCellMar>
      </w:tblPr>
      <w:tr>
        <w:trPr>
          <w:trHeight w:val="171"/>
        </w:trPr>
        <w:tc>
          <w:tcPr>
            <w:tcW w:w="52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20" w:type="dxa"/>
            <w:vAlign w:val="bottom"/>
            <w:gridSpan w:val="6"/>
          </w:tcPr>
          <w:p>
            <w:pPr>
              <w:jc w:val="right"/>
              <w:ind w:right="320"/>
              <w:spacing w:after="0"/>
              <w:rPr>
                <w:sz w:val="20"/>
                <w:szCs w:val="20"/>
                <w:color w:val="auto"/>
              </w:rPr>
            </w:pPr>
            <w:r>
              <w:rPr>
                <w:rFonts w:ascii="Arial" w:cs="Arial" w:eastAsia="Arial" w:hAnsi="Arial"/>
                <w:sz w:val="14"/>
                <w:szCs w:val="14"/>
                <w:b w:val="1"/>
                <w:bCs w:val="1"/>
                <w:color w:val="auto"/>
              </w:rPr>
              <w:t>Three Months Ended March 31,</w:t>
            </w:r>
          </w:p>
        </w:tc>
        <w:tc>
          <w:tcPr>
            <w:tcW w:w="0" w:type="dxa"/>
            <w:vAlign w:val="bottom"/>
          </w:tcPr>
          <w:p>
            <w:pPr>
              <w:spacing w:after="0"/>
              <w:rPr>
                <w:sz w:val="1"/>
                <w:szCs w:val="1"/>
                <w:color w:val="auto"/>
              </w:rPr>
            </w:pPr>
          </w:p>
        </w:tc>
      </w:tr>
      <w:tr>
        <w:trPr>
          <w:trHeight w:val="142"/>
        </w:trPr>
        <w:tc>
          <w:tcPr>
            <w:tcW w:w="5240" w:type="dxa"/>
            <w:vAlign w:val="bottom"/>
            <w:tcBorders>
              <w:bottom w:val="single" w:sz="8" w:color="CCEEFF"/>
            </w:tcBorders>
          </w:tcPr>
          <w:p>
            <w:pPr>
              <w:spacing w:after="0"/>
              <w:rPr>
                <w:sz w:val="12"/>
                <w:szCs w:val="12"/>
                <w:color w:val="auto"/>
              </w:rPr>
            </w:pPr>
          </w:p>
        </w:tc>
        <w:tc>
          <w:tcPr>
            <w:tcW w:w="60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213"/>
              <w:spacing w:after="0" w:line="142" w:lineRule="exact"/>
              <w:rPr>
                <w:sz w:val="20"/>
                <w:szCs w:val="20"/>
                <w:color w:val="auto"/>
              </w:rPr>
            </w:pPr>
            <w:r>
              <w:rPr>
                <w:rFonts w:ascii="Arial" w:cs="Arial" w:eastAsia="Arial" w:hAnsi="Arial"/>
                <w:sz w:val="14"/>
                <w:szCs w:val="14"/>
                <w:b w:val="1"/>
                <w:bCs w:val="1"/>
                <w:color w:val="auto"/>
              </w:rPr>
              <w:t>2021</w:t>
            </w:r>
          </w:p>
        </w:tc>
        <w:tc>
          <w:tcPr>
            <w:tcW w:w="340" w:type="dxa"/>
            <w:vAlign w:val="bottom"/>
            <w:tcBorders>
              <w:top w:val="single" w:sz="8" w:color="auto"/>
              <w:bottom w:val="single" w:sz="8" w:color="CCEEFF"/>
            </w:tcBorders>
          </w:tcPr>
          <w:p>
            <w:pPr>
              <w:spacing w:after="0"/>
              <w:rPr>
                <w:sz w:val="12"/>
                <w:szCs w:val="12"/>
                <w:color w:val="auto"/>
              </w:rPr>
            </w:pPr>
          </w:p>
        </w:tc>
        <w:tc>
          <w:tcPr>
            <w:tcW w:w="280" w:type="dxa"/>
            <w:vAlign w:val="bottom"/>
            <w:tcBorders>
              <w:top w:val="single" w:sz="8" w:color="auto"/>
              <w:bottom w:val="single" w:sz="8" w:color="CCEEFF"/>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jc w:val="right"/>
              <w:ind w:right="212"/>
              <w:spacing w:after="0" w:line="142" w:lineRule="exact"/>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09"/>
        </w:trPr>
        <w:tc>
          <w:tcPr>
            <w:tcW w:w="5240" w:type="dxa"/>
            <w:vAlign w:val="bottom"/>
            <w:shd w:val="clear" w:color="auto" w:fill="CCEEFF"/>
          </w:tcPr>
          <w:p>
            <w:pPr>
              <w:spacing w:after="0"/>
              <w:rPr>
                <w:sz w:val="20"/>
                <w:szCs w:val="20"/>
                <w:color w:val="auto"/>
              </w:rPr>
            </w:pPr>
            <w:r>
              <w:rPr>
                <w:rFonts w:ascii="Arial" w:cs="Arial" w:eastAsia="Arial" w:hAnsi="Arial"/>
                <w:sz w:val="18"/>
                <w:szCs w:val="18"/>
                <w:color w:val="auto"/>
              </w:rPr>
              <w:t>License revenues</w:t>
            </w: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12,000</w:t>
            </w:r>
          </w:p>
        </w:tc>
        <w:tc>
          <w:tcPr>
            <w:tcW w:w="3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40" w:type="dxa"/>
            <w:vAlign w:val="bottom"/>
          </w:tcPr>
          <w:p>
            <w:pPr>
              <w:spacing w:after="0"/>
              <w:rPr>
                <w:sz w:val="20"/>
                <w:szCs w:val="20"/>
                <w:color w:val="auto"/>
              </w:rPr>
            </w:pPr>
            <w:r>
              <w:rPr>
                <w:rFonts w:ascii="Arial" w:cs="Arial" w:eastAsia="Arial" w:hAnsi="Arial"/>
                <w:sz w:val="18"/>
                <w:szCs w:val="18"/>
                <w:color w:val="auto"/>
              </w:rPr>
              <w:t>Operating expenses:</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Research and development</w:t>
            </w: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5,362</w:t>
            </w: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4,892</w:t>
            </w:r>
          </w:p>
        </w:tc>
        <w:tc>
          <w:tcPr>
            <w:tcW w:w="0" w:type="dxa"/>
            <w:vAlign w:val="bottom"/>
          </w:tcPr>
          <w:p>
            <w:pPr>
              <w:spacing w:after="0"/>
              <w:rPr>
                <w:sz w:val="1"/>
                <w:szCs w:val="1"/>
                <w:color w:val="auto"/>
              </w:rPr>
            </w:pPr>
          </w:p>
        </w:tc>
      </w:tr>
      <w:tr>
        <w:trPr>
          <w:trHeight w:val="216"/>
        </w:trPr>
        <w:tc>
          <w:tcPr>
            <w:tcW w:w="5240" w:type="dxa"/>
            <w:vAlign w:val="bottom"/>
          </w:tcPr>
          <w:p>
            <w:pPr>
              <w:ind w:left="360"/>
              <w:spacing w:after="0"/>
              <w:rPr>
                <w:sz w:val="20"/>
                <w:szCs w:val="20"/>
                <w:color w:val="auto"/>
              </w:rPr>
            </w:pPr>
            <w:r>
              <w:rPr>
                <w:rFonts w:ascii="Arial" w:cs="Arial" w:eastAsia="Arial" w:hAnsi="Arial"/>
                <w:sz w:val="18"/>
                <w:szCs w:val="18"/>
                <w:color w:val="auto"/>
              </w:rPr>
              <w:t>General and administrative</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340"/>
              <w:spacing w:after="0"/>
              <w:rPr>
                <w:sz w:val="20"/>
                <w:szCs w:val="20"/>
                <w:color w:val="auto"/>
              </w:rPr>
            </w:pPr>
            <w:r>
              <w:rPr>
                <w:rFonts w:ascii="Arial" w:cs="Arial" w:eastAsia="Arial" w:hAnsi="Arial"/>
                <w:sz w:val="18"/>
                <w:szCs w:val="18"/>
                <w:color w:val="auto"/>
              </w:rPr>
              <w:t>6,578</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4,988</w:t>
            </w:r>
          </w:p>
        </w:tc>
        <w:tc>
          <w:tcPr>
            <w:tcW w:w="0" w:type="dxa"/>
            <w:vAlign w:val="bottom"/>
          </w:tcPr>
          <w:p>
            <w:pPr>
              <w:spacing w:after="0"/>
              <w:rPr>
                <w:sz w:val="1"/>
                <w:szCs w:val="1"/>
                <w:color w:val="auto"/>
              </w:rPr>
            </w:pPr>
          </w:p>
        </w:tc>
      </w:tr>
      <w:tr>
        <w:trPr>
          <w:trHeight w:val="27"/>
        </w:trPr>
        <w:tc>
          <w:tcPr>
            <w:tcW w:w="524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5240" w:type="dxa"/>
            <w:vAlign w:val="bottom"/>
            <w:shd w:val="clear" w:color="auto" w:fill="CCEEFF"/>
          </w:tcPr>
          <w:p>
            <w:pPr>
              <w:spacing w:after="0"/>
              <w:rPr>
                <w:sz w:val="20"/>
                <w:szCs w:val="20"/>
                <w:color w:val="auto"/>
              </w:rPr>
            </w:pPr>
            <w:r>
              <w:rPr>
                <w:rFonts w:ascii="Arial" w:cs="Arial" w:eastAsia="Arial" w:hAnsi="Arial"/>
                <w:sz w:val="18"/>
                <w:szCs w:val="18"/>
                <w:color w:val="auto"/>
              </w:rPr>
              <w:t>Total operating expenses</w:t>
            </w: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11,940</w:t>
            </w: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9,880</w:t>
            </w:r>
          </w:p>
        </w:tc>
        <w:tc>
          <w:tcPr>
            <w:tcW w:w="0" w:type="dxa"/>
            <w:vAlign w:val="bottom"/>
          </w:tcPr>
          <w:p>
            <w:pPr>
              <w:spacing w:after="0"/>
              <w:rPr>
                <w:sz w:val="1"/>
                <w:szCs w:val="1"/>
                <w:color w:val="auto"/>
              </w:rPr>
            </w:pPr>
          </w:p>
        </w:tc>
      </w:tr>
      <w:tr>
        <w:trPr>
          <w:trHeight w:val="223"/>
        </w:trPr>
        <w:tc>
          <w:tcPr>
            <w:tcW w:w="5240" w:type="dxa"/>
            <w:vAlign w:val="bottom"/>
          </w:tcPr>
          <w:p>
            <w:pPr>
              <w:spacing w:after="0"/>
              <w:rPr>
                <w:sz w:val="20"/>
                <w:szCs w:val="20"/>
                <w:color w:val="auto"/>
              </w:rPr>
            </w:pPr>
            <w:r>
              <w:rPr>
                <w:rFonts w:ascii="Arial" w:cs="Arial" w:eastAsia="Arial" w:hAnsi="Arial"/>
                <w:sz w:val="18"/>
                <w:szCs w:val="18"/>
                <w:color w:val="auto"/>
              </w:rPr>
              <w:t>Income (loss) from operations</w:t>
            </w:r>
          </w:p>
        </w:tc>
        <w:tc>
          <w:tcPr>
            <w:tcW w:w="6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60</w:t>
            </w:r>
          </w:p>
        </w:tc>
        <w:tc>
          <w:tcPr>
            <w:tcW w:w="3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(9,880)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240" w:type="dxa"/>
            <w:vAlign w:val="bottom"/>
            <w:shd w:val="clear" w:color="auto" w:fill="CCEEFF"/>
          </w:tcPr>
          <w:p>
            <w:pPr>
              <w:spacing w:after="0"/>
              <w:rPr>
                <w:sz w:val="20"/>
                <w:szCs w:val="20"/>
                <w:color w:val="auto"/>
              </w:rPr>
            </w:pPr>
            <w:r>
              <w:rPr>
                <w:rFonts w:ascii="Arial" w:cs="Arial" w:eastAsia="Arial" w:hAnsi="Arial"/>
                <w:sz w:val="18"/>
                <w:szCs w:val="18"/>
                <w:color w:val="auto"/>
              </w:rPr>
              <w:t>Interest income</w:t>
            </w: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32</w:t>
            </w: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278</w:t>
            </w:r>
          </w:p>
        </w:tc>
        <w:tc>
          <w:tcPr>
            <w:tcW w:w="0" w:type="dxa"/>
            <w:vAlign w:val="bottom"/>
          </w:tcPr>
          <w:p>
            <w:pPr>
              <w:spacing w:after="0"/>
              <w:rPr>
                <w:sz w:val="1"/>
                <w:szCs w:val="1"/>
                <w:color w:val="auto"/>
              </w:rPr>
            </w:pPr>
          </w:p>
        </w:tc>
      </w:tr>
      <w:tr>
        <w:trPr>
          <w:trHeight w:val="216"/>
        </w:trPr>
        <w:tc>
          <w:tcPr>
            <w:tcW w:w="5240" w:type="dxa"/>
            <w:vAlign w:val="bottom"/>
          </w:tcPr>
          <w:p>
            <w:pPr>
              <w:spacing w:after="0"/>
              <w:rPr>
                <w:sz w:val="20"/>
                <w:szCs w:val="20"/>
                <w:color w:val="auto"/>
              </w:rPr>
            </w:pPr>
            <w:r>
              <w:rPr>
                <w:rFonts w:ascii="Arial" w:cs="Arial" w:eastAsia="Arial" w:hAnsi="Arial"/>
                <w:sz w:val="18"/>
                <w:szCs w:val="18"/>
                <w:color w:val="auto"/>
              </w:rPr>
              <w:t>Interest expense</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280"/>
              <w:spacing w:after="0"/>
              <w:rPr>
                <w:sz w:val="20"/>
                <w:szCs w:val="20"/>
                <w:color w:val="auto"/>
              </w:rPr>
            </w:pPr>
            <w:r>
              <w:rPr>
                <w:rFonts w:ascii="Arial" w:cs="Arial" w:eastAsia="Arial" w:hAnsi="Arial"/>
                <w:sz w:val="18"/>
                <w:szCs w:val="18"/>
                <w:color w:val="auto"/>
              </w:rPr>
              <w:t>(1,028)</w:t>
            </w: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(220)</w:t>
            </w:r>
          </w:p>
        </w:tc>
        <w:tc>
          <w:tcPr>
            <w:tcW w:w="0" w:type="dxa"/>
            <w:vAlign w:val="bottom"/>
          </w:tcPr>
          <w:p>
            <w:pPr>
              <w:spacing w:after="0"/>
              <w:rPr>
                <w:sz w:val="1"/>
                <w:szCs w:val="1"/>
                <w:color w:val="auto"/>
              </w:rPr>
            </w:pPr>
          </w:p>
        </w:tc>
      </w:tr>
      <w:tr>
        <w:trPr>
          <w:trHeight w:val="27"/>
        </w:trPr>
        <w:tc>
          <w:tcPr>
            <w:tcW w:w="524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5240" w:type="dxa"/>
            <w:vAlign w:val="bottom"/>
            <w:shd w:val="clear" w:color="auto" w:fill="CCEEFF"/>
          </w:tcPr>
          <w:p>
            <w:pPr>
              <w:spacing w:after="0"/>
              <w:rPr>
                <w:sz w:val="20"/>
                <w:szCs w:val="20"/>
                <w:color w:val="auto"/>
              </w:rPr>
            </w:pPr>
            <w:r>
              <w:rPr>
                <w:rFonts w:ascii="Arial" w:cs="Arial" w:eastAsia="Arial" w:hAnsi="Arial"/>
                <w:sz w:val="18"/>
                <w:szCs w:val="18"/>
                <w:color w:val="auto"/>
              </w:rPr>
              <w:t>Net loss</w:t>
            </w: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(936)</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(9,822)</w:t>
            </w:r>
          </w:p>
        </w:tc>
        <w:tc>
          <w:tcPr>
            <w:tcW w:w="0" w:type="dxa"/>
            <w:vAlign w:val="bottom"/>
          </w:tcPr>
          <w:p>
            <w:pPr>
              <w:spacing w:after="0"/>
              <w:rPr>
                <w:sz w:val="1"/>
                <w:szCs w:val="1"/>
                <w:color w:val="auto"/>
              </w:rPr>
            </w:pPr>
          </w:p>
        </w:tc>
      </w:tr>
      <w:tr>
        <w:trPr>
          <w:trHeight w:val="20"/>
        </w:trPr>
        <w:tc>
          <w:tcPr>
            <w:tcW w:w="5240" w:type="dxa"/>
            <w:vAlign w:val="bottom"/>
            <w:vMerge w:val="restart"/>
          </w:tcPr>
          <w:p>
            <w:pPr>
              <w:spacing w:after="0"/>
              <w:rPr>
                <w:sz w:val="20"/>
                <w:szCs w:val="20"/>
                <w:color w:val="auto"/>
              </w:rPr>
            </w:pPr>
            <w:r>
              <w:rPr>
                <w:rFonts w:ascii="Arial" w:cs="Arial" w:eastAsia="Arial" w:hAnsi="Arial"/>
                <w:sz w:val="18"/>
                <w:szCs w:val="18"/>
                <w:color w:val="auto"/>
              </w:rPr>
              <w:t>Net loss per share, basic and diluted</w:t>
            </w:r>
          </w:p>
        </w:tc>
        <w:tc>
          <w:tcPr>
            <w:tcW w:w="6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240" w:type="dxa"/>
            <w:vAlign w:val="bottom"/>
            <w:vMerge w:val="continue"/>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(0.04)</w:t>
            </w:r>
          </w:p>
        </w:tc>
        <w:tc>
          <w:tcPr>
            <w:tcW w:w="3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(0.39)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2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240" w:type="dxa"/>
            <w:vAlign w:val="bottom"/>
            <w:shd w:val="clear" w:color="auto" w:fill="CCEEFF"/>
          </w:tcPr>
          <w:p>
            <w:pPr>
              <w:spacing w:after="0"/>
              <w:rPr>
                <w:sz w:val="20"/>
                <w:szCs w:val="20"/>
                <w:color w:val="auto"/>
              </w:rPr>
            </w:pPr>
            <w:r>
              <w:rPr>
                <w:rFonts w:ascii="Arial" w:cs="Arial" w:eastAsia="Arial" w:hAnsi="Arial"/>
                <w:sz w:val="18"/>
                <w:szCs w:val="18"/>
                <w:color w:val="auto"/>
                <w:w w:val="99"/>
              </w:rPr>
              <w:t>Weighted average common shares outstanding, basic and diluted</w:t>
            </w: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6"/>
              </w:rPr>
              <w:t>25,602,404</w:t>
            </w: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24,964,167</w:t>
            </w:r>
          </w:p>
        </w:tc>
        <w:tc>
          <w:tcPr>
            <w:tcW w:w="0" w:type="dxa"/>
            <w:vAlign w:val="bottom"/>
          </w:tcPr>
          <w:p>
            <w:pPr>
              <w:spacing w:after="0"/>
              <w:rPr>
                <w:sz w:val="1"/>
                <w:szCs w:val="1"/>
                <w:color w:val="auto"/>
              </w:rPr>
            </w:pPr>
          </w:p>
        </w:tc>
      </w:tr>
      <w:tr>
        <w:trPr>
          <w:trHeight w:val="20"/>
        </w:trPr>
        <w:tc>
          <w:tcPr>
            <w:tcW w:w="52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0980"/>
          </w:cols>
          <w:pgMar w:left="440" w:top="270" w:right="479" w:bottom="1440" w:gutter="0" w:footer="0" w:header="0"/>
        </w:sectPr>
      </w:pPr>
    </w:p>
    <w:bookmarkStart w:id="7" w:name="page8"/>
    <w:bookmarkEnd w:id="7"/>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VERRICA PHARMACEUTICALS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Selected Balance Sheet Data</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 in thousands)</w:t>
      </w:r>
    </w:p>
    <w:p>
      <w:pPr>
        <w:spacing w:after="0" w:line="229" w:lineRule="exact"/>
        <w:rPr>
          <w:sz w:val="20"/>
          <w:szCs w:val="20"/>
          <w:color w:val="auto"/>
        </w:rPr>
      </w:pPr>
    </w:p>
    <w:tbl>
      <w:tblPr>
        <w:tblLayout w:type="fixed"/>
        <w:tblInd w:w="320" w:type="dxa"/>
        <w:tblCellMar>
          <w:top w:w="0" w:type="dxa"/>
          <w:left w:w="0" w:type="dxa"/>
          <w:bottom w:w="0" w:type="dxa"/>
          <w:right w:w="0" w:type="dxa"/>
        </w:tblCellMar>
      </w:tblPr>
      <w:tr>
        <w:trPr>
          <w:trHeight w:val="171"/>
        </w:trPr>
        <w:tc>
          <w:tcPr>
            <w:tcW w:w="4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960" w:type="dxa"/>
            <w:vAlign w:val="bottom"/>
            <w:gridSpan w:val="4"/>
          </w:tcPr>
          <w:p>
            <w:pPr>
              <w:spacing w:after="0"/>
              <w:rPr>
                <w:sz w:val="20"/>
                <w:szCs w:val="20"/>
                <w:color w:val="auto"/>
              </w:rPr>
            </w:pPr>
            <w:r>
              <w:rPr>
                <w:rFonts w:ascii="Arial" w:cs="Arial" w:eastAsia="Arial" w:hAnsi="Arial"/>
                <w:sz w:val="14"/>
                <w:szCs w:val="14"/>
                <w:b w:val="1"/>
                <w:bCs w:val="1"/>
                <w:color w:val="auto"/>
                <w:w w:val="94"/>
              </w:rPr>
              <w:t>March 31, 2021</w:t>
            </w:r>
          </w:p>
        </w:tc>
        <w:tc>
          <w:tcPr>
            <w:tcW w:w="4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0" w:type="dxa"/>
            <w:vAlign w:val="bottom"/>
            <w:gridSpan w:val="5"/>
          </w:tcPr>
          <w:p>
            <w:pPr>
              <w:spacing w:after="0"/>
              <w:rPr>
                <w:sz w:val="20"/>
                <w:szCs w:val="20"/>
                <w:color w:val="auto"/>
              </w:rPr>
            </w:pPr>
            <w:r>
              <w:rPr>
                <w:rFonts w:ascii="Arial" w:cs="Arial" w:eastAsia="Arial" w:hAnsi="Arial"/>
                <w:sz w:val="14"/>
                <w:szCs w:val="14"/>
                <w:b w:val="1"/>
                <w:bCs w:val="1"/>
                <w:color w:val="auto"/>
                <w:w w:val="93"/>
              </w:rPr>
              <w:t>December 31, 2020</w:t>
            </w:r>
          </w:p>
        </w:tc>
        <w:tc>
          <w:tcPr>
            <w:tcW w:w="0" w:type="dxa"/>
            <w:vAlign w:val="bottom"/>
          </w:tcPr>
          <w:p>
            <w:pPr>
              <w:spacing w:after="0"/>
              <w:rPr>
                <w:sz w:val="1"/>
                <w:szCs w:val="1"/>
                <w:color w:val="auto"/>
              </w:rPr>
            </w:pPr>
          </w:p>
        </w:tc>
      </w:tr>
      <w:tr>
        <w:trPr>
          <w:trHeight w:val="209"/>
        </w:trPr>
        <w:tc>
          <w:tcPr>
            <w:tcW w:w="45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Cash, cash equivalents and marketable securities</w:t>
            </w:r>
          </w:p>
        </w:tc>
        <w:tc>
          <w:tcPr>
            <w:tcW w:w="30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4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8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87,686</w:t>
            </w:r>
          </w:p>
        </w:tc>
        <w:tc>
          <w:tcPr>
            <w:tcW w:w="40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2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65,470</w:t>
            </w: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20" w:type="dxa"/>
            <w:vAlign w:val="bottom"/>
          </w:tcPr>
          <w:p>
            <w:pPr>
              <w:spacing w:after="0"/>
              <w:rPr>
                <w:sz w:val="20"/>
                <w:szCs w:val="20"/>
                <w:color w:val="auto"/>
              </w:rPr>
            </w:pPr>
            <w:r>
              <w:rPr>
                <w:rFonts w:ascii="Arial" w:cs="Arial" w:eastAsia="Arial" w:hAnsi="Arial"/>
                <w:sz w:val="18"/>
                <w:szCs w:val="18"/>
                <w:color w:val="auto"/>
              </w:rPr>
              <w:t>Total assets</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w w:val="92"/>
              </w:rPr>
              <w:t>108,102</w:t>
            </w:r>
          </w:p>
        </w:tc>
        <w:tc>
          <w:tcPr>
            <w:tcW w:w="4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3"/>
          </w:tcPr>
          <w:p>
            <w:pPr>
              <w:jc w:val="right"/>
              <w:ind w:right="40"/>
              <w:spacing w:after="0"/>
              <w:rPr>
                <w:sz w:val="20"/>
                <w:szCs w:val="20"/>
                <w:color w:val="auto"/>
              </w:rPr>
            </w:pPr>
            <w:r>
              <w:rPr>
                <w:rFonts w:ascii="Arial" w:cs="Arial" w:eastAsia="Arial" w:hAnsi="Arial"/>
                <w:sz w:val="18"/>
                <w:szCs w:val="18"/>
                <w:color w:val="auto"/>
              </w:rPr>
              <w:t>74,154</w:t>
            </w:r>
          </w:p>
        </w:tc>
        <w:tc>
          <w:tcPr>
            <w:tcW w:w="0" w:type="dxa"/>
            <w:vAlign w:val="bottom"/>
          </w:tcPr>
          <w:p>
            <w:pPr>
              <w:spacing w:after="0"/>
              <w:rPr>
                <w:sz w:val="1"/>
                <w:szCs w:val="1"/>
                <w:color w:val="auto"/>
              </w:rPr>
            </w:pPr>
          </w:p>
        </w:tc>
      </w:tr>
      <w:tr>
        <w:trPr>
          <w:trHeight w:val="216"/>
        </w:trPr>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Debt, net</w:t>
            </w: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40,669</w:t>
            </w:r>
          </w:p>
        </w:tc>
        <w:tc>
          <w:tcPr>
            <w:tcW w:w="4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35,315</w:t>
            </w:r>
          </w:p>
        </w:tc>
        <w:tc>
          <w:tcPr>
            <w:tcW w:w="0" w:type="dxa"/>
            <w:vAlign w:val="bottom"/>
          </w:tcPr>
          <w:p>
            <w:pPr>
              <w:spacing w:after="0"/>
              <w:rPr>
                <w:sz w:val="1"/>
                <w:szCs w:val="1"/>
                <w:color w:val="auto"/>
              </w:rPr>
            </w:pPr>
          </w:p>
        </w:tc>
      </w:tr>
      <w:tr>
        <w:trPr>
          <w:trHeight w:val="216"/>
        </w:trPr>
        <w:tc>
          <w:tcPr>
            <w:tcW w:w="4520" w:type="dxa"/>
            <w:vAlign w:val="bottom"/>
          </w:tcPr>
          <w:p>
            <w:pPr>
              <w:spacing w:after="0"/>
              <w:rPr>
                <w:sz w:val="20"/>
                <w:szCs w:val="20"/>
                <w:color w:val="auto"/>
              </w:rPr>
            </w:pPr>
            <w:r>
              <w:rPr>
                <w:rFonts w:ascii="Arial" w:cs="Arial" w:eastAsia="Arial" w:hAnsi="Arial"/>
                <w:sz w:val="18"/>
                <w:szCs w:val="18"/>
                <w:color w:val="auto"/>
              </w:rPr>
              <w:t>Total liabilities</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46,292</w:t>
            </w:r>
          </w:p>
        </w:tc>
        <w:tc>
          <w:tcPr>
            <w:tcW w:w="4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3"/>
          </w:tcPr>
          <w:p>
            <w:pPr>
              <w:jc w:val="right"/>
              <w:ind w:right="40"/>
              <w:spacing w:after="0"/>
              <w:rPr>
                <w:sz w:val="20"/>
                <w:szCs w:val="20"/>
                <w:color w:val="auto"/>
              </w:rPr>
            </w:pPr>
            <w:r>
              <w:rPr>
                <w:rFonts w:ascii="Arial" w:cs="Arial" w:eastAsia="Arial" w:hAnsi="Arial"/>
                <w:sz w:val="18"/>
                <w:szCs w:val="18"/>
                <w:color w:val="auto"/>
              </w:rPr>
              <w:t>41,168</w:t>
            </w:r>
          </w:p>
        </w:tc>
        <w:tc>
          <w:tcPr>
            <w:tcW w:w="0" w:type="dxa"/>
            <w:vAlign w:val="bottom"/>
          </w:tcPr>
          <w:p>
            <w:pPr>
              <w:spacing w:after="0"/>
              <w:rPr>
                <w:sz w:val="1"/>
                <w:szCs w:val="1"/>
                <w:color w:val="auto"/>
              </w:rPr>
            </w:pPr>
          </w:p>
        </w:tc>
      </w:tr>
      <w:tr>
        <w:trPr>
          <w:trHeight w:val="216"/>
        </w:trPr>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Total stockholders’ equity</w:t>
            </w: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61,810</w:t>
            </w:r>
          </w:p>
        </w:tc>
        <w:tc>
          <w:tcPr>
            <w:tcW w:w="4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32,986</w:t>
            </w:r>
          </w:p>
        </w:tc>
        <w:tc>
          <w:tcPr>
            <w:tcW w:w="0" w:type="dxa"/>
            <w:vAlign w:val="bottom"/>
          </w:tcPr>
          <w:p>
            <w:pPr>
              <w:spacing w:after="0"/>
              <w:rPr>
                <w:sz w:val="1"/>
                <w:szCs w:val="1"/>
                <w:color w:val="auto"/>
              </w:rPr>
            </w:pPr>
          </w:p>
        </w:tc>
      </w:tr>
      <w:tr>
        <w:trPr>
          <w:trHeight w:val="630"/>
        </w:trPr>
        <w:tc>
          <w:tcPr>
            <w:tcW w:w="5800" w:type="dxa"/>
            <w:vAlign w:val="bottom"/>
            <w:gridSpan w:val="6"/>
          </w:tcPr>
          <w:p>
            <w:pPr>
              <w:jc w:val="center"/>
              <w:ind w:left="2470"/>
              <w:spacing w:after="0"/>
              <w:rPr>
                <w:sz w:val="20"/>
                <w:szCs w:val="20"/>
                <w:color w:val="auto"/>
              </w:rPr>
            </w:pPr>
            <w:r>
              <w:rPr>
                <w:rFonts w:ascii="Arial" w:cs="Arial" w:eastAsia="Arial" w:hAnsi="Arial"/>
                <w:sz w:val="18"/>
                <w:szCs w:val="18"/>
                <w:b w:val="1"/>
                <w:bCs w:val="1"/>
                <w:color w:val="auto"/>
              </w:rPr>
              <w:t>VERRICA PHARMACEUTICALS INC.</w:t>
            </w: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7160" w:type="dxa"/>
            <w:vAlign w:val="bottom"/>
            <w:gridSpan w:val="10"/>
          </w:tcPr>
          <w:p>
            <w:pPr>
              <w:jc w:val="center"/>
              <w:ind w:left="1110"/>
              <w:spacing w:after="0"/>
              <w:rPr>
                <w:sz w:val="20"/>
                <w:szCs w:val="20"/>
                <w:color w:val="auto"/>
              </w:rPr>
            </w:pPr>
            <w:r>
              <w:rPr>
                <w:rFonts w:ascii="Arial" w:cs="Arial" w:eastAsia="Arial" w:hAnsi="Arial"/>
                <w:sz w:val="18"/>
                <w:szCs w:val="18"/>
                <w:b w:val="1"/>
                <w:bCs w:val="1"/>
                <w:color w:val="auto"/>
                <w:w w:val="91"/>
              </w:rPr>
              <w:t>Reconciliation of Non-GAAP Financial Measures (unaudited)</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6420" w:type="dxa"/>
            <w:vAlign w:val="bottom"/>
            <w:gridSpan w:val="8"/>
          </w:tcPr>
          <w:p>
            <w:pPr>
              <w:jc w:val="center"/>
              <w:ind w:left="1870"/>
              <w:spacing w:after="0"/>
              <w:rPr>
                <w:sz w:val="20"/>
                <w:szCs w:val="20"/>
                <w:color w:val="auto"/>
              </w:rPr>
            </w:pPr>
            <w:r>
              <w:rPr>
                <w:rFonts w:ascii="Arial" w:cs="Arial" w:eastAsia="Arial" w:hAnsi="Arial"/>
                <w:sz w:val="18"/>
                <w:szCs w:val="18"/>
                <w:b w:val="1"/>
                <w:bCs w:val="1"/>
                <w:color w:val="auto"/>
                <w:w w:val="88"/>
              </w:rPr>
              <w:t>(in thousands except share and per share data)</w:t>
            </w:r>
          </w:p>
        </w:tc>
        <w:tc>
          <w:tcPr>
            <w:tcW w:w="4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2"/>
        </w:trPr>
        <w:tc>
          <w:tcPr>
            <w:tcW w:w="45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300" w:type="dxa"/>
            <w:vAlign w:val="bottom"/>
            <w:gridSpan w:val="12"/>
          </w:tcPr>
          <w:p>
            <w:pPr>
              <w:jc w:val="right"/>
              <w:ind w:right="680"/>
              <w:spacing w:after="0"/>
              <w:rPr>
                <w:sz w:val="20"/>
                <w:szCs w:val="20"/>
                <w:color w:val="auto"/>
              </w:rPr>
            </w:pPr>
            <w:r>
              <w:rPr>
                <w:rFonts w:ascii="Arial" w:cs="Arial" w:eastAsia="Arial" w:hAnsi="Arial"/>
                <w:sz w:val="14"/>
                <w:szCs w:val="14"/>
                <w:b w:val="1"/>
                <w:bCs w:val="1"/>
                <w:color w:val="auto"/>
              </w:rPr>
              <w:t>Three Months Ended March 31, 2021</w:t>
            </w:r>
          </w:p>
        </w:tc>
        <w:tc>
          <w:tcPr>
            <w:tcW w:w="0" w:type="dxa"/>
            <w:vAlign w:val="bottom"/>
          </w:tcPr>
          <w:p>
            <w:pPr>
              <w:spacing w:after="0"/>
              <w:rPr>
                <w:sz w:val="1"/>
                <w:szCs w:val="1"/>
                <w:color w:val="auto"/>
              </w:rPr>
            </w:pPr>
          </w:p>
        </w:tc>
      </w:tr>
      <w:tr>
        <w:trPr>
          <w:trHeight w:val="119"/>
        </w:trPr>
        <w:tc>
          <w:tcPr>
            <w:tcW w:w="45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980" w:type="dxa"/>
            <w:vAlign w:val="bottom"/>
            <w:tcBorders>
              <w:top w:val="single" w:sz="8" w:color="auto"/>
            </w:tcBorders>
            <w:gridSpan w:val="4"/>
          </w:tcPr>
          <w:p>
            <w:pPr>
              <w:spacing w:after="0" w:line="119" w:lineRule="exact"/>
              <w:rPr>
                <w:sz w:val="20"/>
                <w:szCs w:val="20"/>
                <w:color w:val="auto"/>
              </w:rPr>
            </w:pPr>
            <w:r>
              <w:rPr>
                <w:rFonts w:ascii="Arial" w:cs="Arial" w:eastAsia="Arial" w:hAnsi="Arial"/>
                <w:sz w:val="13"/>
                <w:szCs w:val="13"/>
                <w:b w:val="1"/>
                <w:bCs w:val="1"/>
                <w:color w:val="auto"/>
              </w:rPr>
              <w:t>Income from</w:t>
            </w:r>
          </w:p>
        </w:tc>
        <w:tc>
          <w:tcPr>
            <w:tcW w:w="320" w:type="dxa"/>
            <w:vAlign w:val="bottom"/>
            <w:tcBorders>
              <w:top w:val="single" w:sz="8" w:color="auto"/>
            </w:tcBorders>
          </w:tcPr>
          <w:p>
            <w:pPr>
              <w:spacing w:after="0"/>
              <w:rPr>
                <w:sz w:val="10"/>
                <w:szCs w:val="10"/>
                <w:color w:val="auto"/>
              </w:rPr>
            </w:pPr>
          </w:p>
        </w:tc>
        <w:tc>
          <w:tcPr>
            <w:tcW w:w="1040" w:type="dxa"/>
            <w:vAlign w:val="bottom"/>
            <w:tcBorders>
              <w:top w:val="single" w:sz="8" w:color="auto"/>
            </w:tcBorders>
            <w:gridSpan w:val="3"/>
          </w:tcPr>
          <w:p>
            <w:pPr>
              <w:ind w:left="20"/>
              <w:spacing w:after="0" w:line="119" w:lineRule="exact"/>
              <w:rPr>
                <w:sz w:val="20"/>
                <w:szCs w:val="20"/>
                <w:color w:val="auto"/>
              </w:rPr>
            </w:pPr>
            <w:r>
              <w:rPr>
                <w:rFonts w:ascii="Arial" w:cs="Arial" w:eastAsia="Arial" w:hAnsi="Arial"/>
                <w:sz w:val="13"/>
                <w:szCs w:val="13"/>
                <w:b w:val="1"/>
                <w:bCs w:val="1"/>
                <w:color w:val="auto"/>
              </w:rPr>
              <w:t>Net income</w:t>
            </w:r>
          </w:p>
        </w:tc>
        <w:tc>
          <w:tcPr>
            <w:tcW w:w="16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820" w:type="dxa"/>
            <w:vAlign w:val="bottom"/>
            <w:tcBorders>
              <w:top w:val="single" w:sz="8" w:color="auto"/>
            </w:tcBorders>
          </w:tcPr>
          <w:p>
            <w:pPr>
              <w:jc w:val="right"/>
              <w:ind w:right="33"/>
              <w:spacing w:after="0" w:line="119" w:lineRule="exact"/>
              <w:rPr>
                <w:sz w:val="20"/>
                <w:szCs w:val="20"/>
                <w:color w:val="auto"/>
              </w:rPr>
            </w:pPr>
            <w:r>
              <w:rPr>
                <w:rFonts w:ascii="Arial" w:cs="Arial" w:eastAsia="Arial" w:hAnsi="Arial"/>
                <w:sz w:val="13"/>
                <w:szCs w:val="13"/>
                <w:b w:val="1"/>
                <w:bCs w:val="1"/>
                <w:color w:val="auto"/>
                <w:w w:val="96"/>
              </w:rPr>
              <w:t>Net income</w:t>
            </w:r>
          </w:p>
        </w:tc>
        <w:tc>
          <w:tcPr>
            <w:tcW w:w="100" w:type="dxa"/>
            <w:vAlign w:val="bottom"/>
            <w:gridSpan w:val="2"/>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4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0" w:type="dxa"/>
            <w:vAlign w:val="bottom"/>
            <w:gridSpan w:val="3"/>
          </w:tcPr>
          <w:p>
            <w:pPr>
              <w:jc w:val="right"/>
              <w:spacing w:after="0"/>
              <w:rPr>
                <w:sz w:val="20"/>
                <w:szCs w:val="20"/>
                <w:color w:val="auto"/>
              </w:rPr>
            </w:pPr>
            <w:r>
              <w:rPr>
                <w:rFonts w:ascii="Arial" w:cs="Arial" w:eastAsia="Arial" w:hAnsi="Arial"/>
                <w:sz w:val="14"/>
                <w:szCs w:val="14"/>
                <w:b w:val="1"/>
                <w:bCs w:val="1"/>
                <w:color w:val="auto"/>
                <w:w w:val="97"/>
              </w:rPr>
              <w:t>Operations</w:t>
            </w:r>
          </w:p>
        </w:tc>
        <w:tc>
          <w:tcPr>
            <w:tcW w:w="1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700" w:type="dxa"/>
            <w:vAlign w:val="bottom"/>
            <w:gridSpan w:val="2"/>
          </w:tcPr>
          <w:p>
            <w:pPr>
              <w:ind w:left="200"/>
              <w:spacing w:after="0"/>
              <w:rPr>
                <w:sz w:val="20"/>
                <w:szCs w:val="20"/>
                <w:color w:val="auto"/>
              </w:rPr>
            </w:pPr>
            <w:r>
              <w:rPr>
                <w:rFonts w:ascii="Arial" w:cs="Arial" w:eastAsia="Arial" w:hAnsi="Arial"/>
                <w:sz w:val="14"/>
                <w:szCs w:val="14"/>
                <w:b w:val="1"/>
                <w:bCs w:val="1"/>
                <w:color w:val="auto"/>
              </w:rPr>
              <w:t>(loss)</w:t>
            </w:r>
          </w:p>
        </w:tc>
        <w:tc>
          <w:tcPr>
            <w:tcW w:w="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40" w:type="dxa"/>
            <w:vAlign w:val="bottom"/>
            <w:gridSpan w:val="4"/>
          </w:tcPr>
          <w:p>
            <w:pPr>
              <w:ind w:left="20"/>
              <w:spacing w:after="0"/>
              <w:rPr>
                <w:sz w:val="20"/>
                <w:szCs w:val="20"/>
                <w:color w:val="auto"/>
              </w:rPr>
            </w:pPr>
            <w:r>
              <w:rPr>
                <w:rFonts w:ascii="Arial" w:cs="Arial" w:eastAsia="Arial" w:hAnsi="Arial"/>
                <w:sz w:val="14"/>
                <w:szCs w:val="14"/>
                <w:b w:val="1"/>
                <w:bCs w:val="1"/>
                <w:color w:val="auto"/>
                <w:w w:val="95"/>
              </w:rPr>
              <w:t>(loss) per share</w:t>
            </w:r>
          </w:p>
        </w:tc>
        <w:tc>
          <w:tcPr>
            <w:tcW w:w="0" w:type="dxa"/>
            <w:vAlign w:val="bottom"/>
          </w:tcPr>
          <w:p>
            <w:pPr>
              <w:spacing w:after="0"/>
              <w:rPr>
                <w:sz w:val="1"/>
                <w:szCs w:val="1"/>
                <w:color w:val="auto"/>
              </w:rPr>
            </w:pPr>
          </w:p>
        </w:tc>
      </w:tr>
      <w:tr>
        <w:trPr>
          <w:trHeight w:val="20"/>
        </w:trPr>
        <w:tc>
          <w:tcPr>
            <w:tcW w:w="4520" w:type="dxa"/>
            <w:vAlign w:val="bottom"/>
            <w:vMerge w:val="restart"/>
            <w:shd w:val="clear" w:color="auto" w:fill="CCEEFF"/>
          </w:tcPr>
          <w:p>
            <w:pPr>
              <w:spacing w:after="0"/>
              <w:rPr>
                <w:sz w:val="20"/>
                <w:szCs w:val="20"/>
                <w:color w:val="auto"/>
              </w:rPr>
            </w:pPr>
            <w:r>
              <w:rPr>
                <w:rFonts w:ascii="Arial" w:cs="Arial" w:eastAsia="Arial" w:hAnsi="Arial"/>
                <w:sz w:val="18"/>
                <w:szCs w:val="18"/>
                <w:b w:val="1"/>
                <w:bCs w:val="1"/>
                <w:color w:val="auto"/>
              </w:rPr>
              <w:t>GAAP</w:t>
            </w:r>
          </w:p>
        </w:tc>
        <w:tc>
          <w:tcPr>
            <w:tcW w:w="300" w:type="dxa"/>
            <w:vAlign w:val="bottom"/>
            <w:vMerge w:val="restart"/>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560" w:type="dxa"/>
            <w:vAlign w:val="bottom"/>
            <w:gridSpan w:val="2"/>
            <w:shd w:val="clear" w:color="auto" w:fill="000000"/>
          </w:tcPr>
          <w:p>
            <w:pPr>
              <w:spacing w:after="0" w:line="20" w:lineRule="exact"/>
              <w:rPr>
                <w:sz w:val="1"/>
                <w:szCs w:val="1"/>
                <w:color w:val="auto"/>
              </w:rPr>
            </w:pPr>
          </w:p>
        </w:tc>
        <w:tc>
          <w:tcPr>
            <w:tcW w:w="180" w:type="dxa"/>
            <w:vAlign w:val="bottom"/>
            <w:vMerge w:val="restart"/>
            <w:shd w:val="clear" w:color="auto" w:fill="CCEEFF"/>
          </w:tcPr>
          <w:p>
            <w:pPr>
              <w:spacing w:after="0" w:line="20" w:lineRule="exact"/>
              <w:rPr>
                <w:sz w:val="1"/>
                <w:szCs w:val="1"/>
                <w:color w:val="auto"/>
              </w:rPr>
            </w:pPr>
          </w:p>
        </w:tc>
        <w:tc>
          <w:tcPr>
            <w:tcW w:w="320" w:type="dxa"/>
            <w:vAlign w:val="bottom"/>
            <w:vMerge w:val="restart"/>
            <w:shd w:val="clear" w:color="auto" w:fill="CCEEFF"/>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340" w:type="dxa"/>
            <w:vAlign w:val="bottom"/>
            <w:vMerge w:val="restart"/>
            <w:shd w:val="clear" w:color="auto" w:fill="CCEEFF"/>
          </w:tcPr>
          <w:p>
            <w:pPr>
              <w:spacing w:after="0" w:line="20" w:lineRule="exact"/>
              <w:rPr>
                <w:sz w:val="1"/>
                <w:szCs w:val="1"/>
                <w:color w:val="auto"/>
              </w:rPr>
            </w:pPr>
          </w:p>
        </w:tc>
        <w:tc>
          <w:tcPr>
            <w:tcW w:w="160" w:type="dxa"/>
            <w:vAlign w:val="bottom"/>
            <w:vMerge w:val="restart"/>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gridSpan w:val="2"/>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520" w:type="dxa"/>
            <w:vAlign w:val="bottom"/>
            <w:vMerge w:val="continue"/>
            <w:shd w:val="clear" w:color="auto" w:fill="CCEEFF"/>
          </w:tcPr>
          <w:p>
            <w:pPr>
              <w:spacing w:after="0"/>
              <w:rPr>
                <w:sz w:val="18"/>
                <w:szCs w:val="18"/>
                <w:color w:val="auto"/>
              </w:rPr>
            </w:pPr>
          </w:p>
        </w:tc>
        <w:tc>
          <w:tcPr>
            <w:tcW w:w="300" w:type="dxa"/>
            <w:vAlign w:val="bottom"/>
            <w:vMerge w:val="continue"/>
            <w:shd w:val="clear" w:color="auto" w:fill="CCEEFF"/>
          </w:tcPr>
          <w:p>
            <w:pPr>
              <w:spacing w:after="0"/>
              <w:rPr>
                <w:sz w:val="18"/>
                <w:szCs w:val="18"/>
                <w:color w:val="auto"/>
              </w:rPr>
            </w:pPr>
          </w:p>
        </w:tc>
        <w:tc>
          <w:tcPr>
            <w:tcW w:w="2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60</w:t>
            </w:r>
          </w:p>
        </w:tc>
        <w:tc>
          <w:tcPr>
            <w:tcW w:w="180" w:type="dxa"/>
            <w:vAlign w:val="bottom"/>
            <w:vMerge w:val="continue"/>
            <w:shd w:val="clear" w:color="auto" w:fill="CCEEFF"/>
          </w:tcPr>
          <w:p>
            <w:pPr>
              <w:spacing w:after="0"/>
              <w:rPr>
                <w:sz w:val="18"/>
                <w:szCs w:val="18"/>
                <w:color w:val="auto"/>
              </w:rPr>
            </w:pPr>
          </w:p>
        </w:tc>
        <w:tc>
          <w:tcPr>
            <w:tcW w:w="320" w:type="dxa"/>
            <w:vAlign w:val="bottom"/>
            <w:vMerge w:val="continue"/>
            <w:shd w:val="clear" w:color="auto" w:fill="CCEEFF"/>
          </w:tcPr>
          <w:p>
            <w:pPr>
              <w:spacing w:after="0"/>
              <w:rPr>
                <w:sz w:val="18"/>
                <w:szCs w:val="18"/>
                <w:color w:val="auto"/>
              </w:rPr>
            </w:pPr>
          </w:p>
        </w:tc>
        <w:tc>
          <w:tcPr>
            <w:tcW w:w="3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0"/>
              </w:rPr>
              <w:t>(936)</w:t>
            </w:r>
          </w:p>
        </w:tc>
        <w:tc>
          <w:tcPr>
            <w:tcW w:w="340" w:type="dxa"/>
            <w:vAlign w:val="bottom"/>
            <w:vMerge w:val="continue"/>
            <w:shd w:val="clear" w:color="auto" w:fill="CCEEFF"/>
          </w:tcPr>
          <w:p>
            <w:pPr>
              <w:spacing w:after="0"/>
              <w:rPr>
                <w:sz w:val="18"/>
                <w:szCs w:val="18"/>
                <w:color w:val="auto"/>
              </w:rPr>
            </w:pPr>
          </w:p>
        </w:tc>
        <w:tc>
          <w:tcPr>
            <w:tcW w:w="16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99"/>
              </w:rPr>
              <w:t>$</w:t>
            </w:r>
          </w:p>
        </w:tc>
        <w:tc>
          <w:tcPr>
            <w:tcW w:w="9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(0.04)</w:t>
            </w:r>
          </w:p>
        </w:tc>
        <w:tc>
          <w:tcPr>
            <w:tcW w:w="0" w:type="dxa"/>
            <w:vAlign w:val="bottom"/>
          </w:tcPr>
          <w:p>
            <w:pPr>
              <w:spacing w:after="0"/>
              <w:rPr>
                <w:sz w:val="1"/>
                <w:szCs w:val="1"/>
                <w:color w:val="auto"/>
              </w:rPr>
            </w:pPr>
          </w:p>
        </w:tc>
      </w:tr>
      <w:tr>
        <w:trPr>
          <w:trHeight w:val="432"/>
        </w:trPr>
        <w:tc>
          <w:tcPr>
            <w:tcW w:w="4520" w:type="dxa"/>
            <w:vAlign w:val="bottom"/>
          </w:tcPr>
          <w:p>
            <w:pPr>
              <w:spacing w:after="0"/>
              <w:rPr>
                <w:sz w:val="20"/>
                <w:szCs w:val="20"/>
                <w:color w:val="auto"/>
              </w:rPr>
            </w:pPr>
            <w:r>
              <w:rPr>
                <w:rFonts w:ascii="Arial" w:cs="Arial" w:eastAsia="Arial" w:hAnsi="Arial"/>
                <w:sz w:val="18"/>
                <w:szCs w:val="18"/>
                <w:b w:val="1"/>
                <w:bCs w:val="1"/>
                <w:color w:val="auto"/>
              </w:rPr>
              <w:t>Non-GAAP Adjustments:</w:t>
            </w: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5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60" w:type="dxa"/>
            <w:vAlign w:val="bottom"/>
            <w:gridSpan w:val="2"/>
          </w:tcPr>
          <w:p>
            <w:pPr>
              <w:spacing w:after="0"/>
              <w:rPr>
                <w:sz w:val="18"/>
                <w:szCs w:val="18"/>
                <w:color w:val="auto"/>
              </w:rPr>
            </w:pPr>
          </w:p>
        </w:tc>
        <w:tc>
          <w:tcPr>
            <w:tcW w:w="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Stock-based compensation – General &amp; Admin (a)</w:t>
            </w: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1,105</w:t>
            </w:r>
          </w:p>
        </w:tc>
        <w:tc>
          <w:tcPr>
            <w:tcW w:w="3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88"/>
              </w:rPr>
              <w:t>1,105</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20" w:type="dxa"/>
            <w:vAlign w:val="bottom"/>
          </w:tcPr>
          <w:p>
            <w:pPr>
              <w:spacing w:after="0"/>
              <w:rPr>
                <w:sz w:val="20"/>
                <w:szCs w:val="20"/>
                <w:color w:val="auto"/>
              </w:rPr>
            </w:pPr>
            <w:r>
              <w:rPr>
                <w:rFonts w:ascii="Arial" w:cs="Arial" w:eastAsia="Arial" w:hAnsi="Arial"/>
                <w:sz w:val="18"/>
                <w:szCs w:val="18"/>
                <w:color w:val="auto"/>
                <w:w w:val="95"/>
              </w:rPr>
              <w:t>Stock-based compensation – Research &amp; Development (a)</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40" w:type="dxa"/>
            <w:vAlign w:val="bottom"/>
            <w:gridSpan w:val="3"/>
          </w:tcPr>
          <w:p>
            <w:pPr>
              <w:jc w:val="right"/>
              <w:ind w:right="180"/>
              <w:spacing w:after="0"/>
              <w:rPr>
                <w:sz w:val="20"/>
                <w:szCs w:val="20"/>
                <w:color w:val="auto"/>
              </w:rPr>
            </w:pPr>
            <w:r>
              <w:rPr>
                <w:rFonts w:ascii="Arial" w:cs="Arial" w:eastAsia="Arial" w:hAnsi="Arial"/>
                <w:sz w:val="18"/>
                <w:szCs w:val="18"/>
                <w:color w:val="auto"/>
              </w:rPr>
              <w:t>298</w:t>
            </w:r>
          </w:p>
        </w:tc>
        <w:tc>
          <w:tcPr>
            <w:tcW w:w="3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740" w:type="dxa"/>
            <w:vAlign w:val="bottom"/>
            <w:gridSpan w:val="2"/>
          </w:tcPr>
          <w:p>
            <w:pPr>
              <w:jc w:val="right"/>
              <w:ind w:right="320"/>
              <w:spacing w:after="0"/>
              <w:rPr>
                <w:sz w:val="20"/>
                <w:szCs w:val="20"/>
                <w:color w:val="auto"/>
              </w:rPr>
            </w:pPr>
            <w:r>
              <w:rPr>
                <w:rFonts w:ascii="Arial" w:cs="Arial" w:eastAsia="Arial" w:hAnsi="Arial"/>
                <w:sz w:val="18"/>
                <w:szCs w:val="18"/>
                <w:color w:val="auto"/>
              </w:rPr>
              <w:t>298</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20" w:type="dxa"/>
            <w:vAlign w:val="bottom"/>
            <w:shd w:val="clear" w:color="auto" w:fill="CCEEFF"/>
          </w:tcPr>
          <w:p>
            <w:pPr>
              <w:spacing w:after="0"/>
              <w:rPr>
                <w:sz w:val="20"/>
                <w:szCs w:val="20"/>
                <w:color w:val="auto"/>
              </w:rPr>
            </w:pPr>
            <w:r>
              <w:rPr>
                <w:rFonts w:ascii="Arial" w:cs="Arial" w:eastAsia="Arial" w:hAnsi="Arial"/>
                <w:sz w:val="18"/>
                <w:szCs w:val="18"/>
                <w:color w:val="auto"/>
              </w:rPr>
              <w:t>Non-cash interest expense (b)</w:t>
            </w: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gridSpan w:val="3"/>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144</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5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gridSpan w:val="2"/>
          </w:tcPr>
          <w:p>
            <w:pPr>
              <w:spacing w:after="0"/>
              <w:rPr>
                <w:sz w:val="19"/>
                <w:szCs w:val="19"/>
                <w:color w:val="auto"/>
              </w:rPr>
            </w:pPr>
          </w:p>
        </w:tc>
        <w:tc>
          <w:tcPr>
            <w:tcW w:w="1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5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Adjusted</w:t>
            </w:r>
          </w:p>
        </w:tc>
        <w:tc>
          <w:tcPr>
            <w:tcW w:w="540" w:type="dxa"/>
            <w:vAlign w:val="bottom"/>
            <w:gridSpan w:val="2"/>
            <w:shd w:val="clear" w:color="auto" w:fill="CCEEFF"/>
          </w:tcPr>
          <w:p>
            <w:pPr>
              <w:ind w:left="300"/>
              <w:spacing w:after="0"/>
              <w:rPr>
                <w:sz w:val="20"/>
                <w:szCs w:val="20"/>
                <w:color w:val="auto"/>
              </w:rPr>
            </w:pPr>
            <w:r>
              <w:rPr>
                <w:rFonts w:ascii="Arial" w:cs="Arial" w:eastAsia="Arial" w:hAnsi="Arial"/>
                <w:sz w:val="18"/>
                <w:szCs w:val="18"/>
                <w:b w:val="1"/>
                <w:bCs w:val="1"/>
                <w:color w:val="auto"/>
              </w:rPr>
              <w:t>$</w:t>
            </w:r>
          </w:p>
        </w:tc>
        <w:tc>
          <w:tcPr>
            <w:tcW w:w="74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b w:val="1"/>
                <w:bCs w:val="1"/>
                <w:color w:val="auto"/>
              </w:rPr>
              <w:t>1,436</w:t>
            </w:r>
          </w:p>
        </w:tc>
        <w:tc>
          <w:tcPr>
            <w:tcW w:w="620" w:type="dxa"/>
            <w:vAlign w:val="bottom"/>
            <w:gridSpan w:val="2"/>
            <w:shd w:val="clear" w:color="auto" w:fill="CCEEFF"/>
          </w:tcPr>
          <w:p>
            <w:pPr>
              <w:ind w:left="320"/>
              <w:spacing w:after="0"/>
              <w:rPr>
                <w:sz w:val="20"/>
                <w:szCs w:val="20"/>
                <w:color w:val="auto"/>
              </w:rPr>
            </w:pPr>
            <w:r>
              <w:rPr>
                <w:rFonts w:ascii="Arial" w:cs="Arial" w:eastAsia="Arial" w:hAnsi="Arial"/>
                <w:sz w:val="18"/>
                <w:szCs w:val="18"/>
                <w:b w:val="1"/>
                <w:bCs w:val="1"/>
                <w:color w:val="auto"/>
              </w:rPr>
              <w:t>$</w:t>
            </w:r>
          </w:p>
        </w:tc>
        <w:tc>
          <w:tcPr>
            <w:tcW w:w="7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611</w:t>
            </w:r>
          </w:p>
        </w:tc>
        <w:tc>
          <w:tcPr>
            <w:tcW w:w="280" w:type="dxa"/>
            <w:vAlign w:val="bottom"/>
            <w:gridSpan w:val="2"/>
            <w:shd w:val="clear" w:color="auto" w:fill="CCEEFF"/>
          </w:tcPr>
          <w:p>
            <w:pPr>
              <w:ind w:left="160"/>
              <w:spacing w:after="0"/>
              <w:rPr>
                <w:sz w:val="20"/>
                <w:szCs w:val="20"/>
                <w:color w:val="auto"/>
              </w:rPr>
            </w:pPr>
            <w:r>
              <w:rPr>
                <w:rFonts w:ascii="Arial" w:cs="Arial" w:eastAsia="Arial" w:hAnsi="Arial"/>
                <w:sz w:val="18"/>
                <w:szCs w:val="18"/>
                <w:b w:val="1"/>
                <w:bCs w:val="1"/>
                <w:color w:val="auto"/>
                <w:w w:val="99"/>
              </w:rPr>
              <w:t>$</w:t>
            </w: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0.02</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5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9019"/>
          </w:cols>
          <w:pgMar w:left="1440" w:top="270" w:right="1440" w:bottom="1440" w:gutter="0" w:footer="0" w:header="0"/>
        </w:sectPr>
      </w:pPr>
    </w:p>
    <w:bookmarkStart w:id="8" w:name="page9"/>
    <w:bookmarkEnd w:id="8"/>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tbl>
      <w:tblPr>
        <w:tblLayout w:type="fixed"/>
        <w:tblInd w:w="88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50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120" w:type="dxa"/>
            <w:vAlign w:val="bottom"/>
            <w:tcBorders>
              <w:bottom w:val="single" w:sz="8" w:color="auto"/>
            </w:tcBorders>
            <w:gridSpan w:val="8"/>
          </w:tcPr>
          <w:p>
            <w:pPr>
              <w:ind w:left="360"/>
              <w:spacing w:after="0"/>
              <w:rPr>
                <w:sz w:val="20"/>
                <w:szCs w:val="20"/>
                <w:color w:val="auto"/>
              </w:rPr>
            </w:pPr>
            <w:r>
              <w:rPr>
                <w:rFonts w:ascii="Arial" w:cs="Arial" w:eastAsia="Arial" w:hAnsi="Arial"/>
                <w:sz w:val="14"/>
                <w:szCs w:val="14"/>
                <w:b w:val="1"/>
                <w:bCs w:val="1"/>
                <w:color w:val="auto"/>
              </w:rPr>
              <w:t>Three Months Ended March 31, 2020</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504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160" w:type="dxa"/>
            <w:vAlign w:val="bottom"/>
            <w:gridSpan w:val="3"/>
          </w:tcPr>
          <w:p>
            <w:pPr>
              <w:jc w:val="center"/>
              <w:ind w:right="300"/>
              <w:spacing w:after="0" w:line="119" w:lineRule="exact"/>
              <w:rPr>
                <w:sz w:val="20"/>
                <w:szCs w:val="20"/>
                <w:color w:val="auto"/>
              </w:rPr>
            </w:pPr>
            <w:r>
              <w:rPr>
                <w:rFonts w:ascii="Arial" w:cs="Arial" w:eastAsia="Arial" w:hAnsi="Arial"/>
                <w:sz w:val="13"/>
                <w:szCs w:val="13"/>
                <w:b w:val="1"/>
                <w:bCs w:val="1"/>
                <w:color w:val="auto"/>
                <w:w w:val="97"/>
              </w:rPr>
              <w:t>Income (Loss)</w:t>
            </w:r>
          </w:p>
        </w:tc>
        <w:tc>
          <w:tcPr>
            <w:tcW w:w="2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080" w:type="dxa"/>
            <w:vAlign w:val="bottom"/>
            <w:gridSpan w:val="4"/>
            <w:vMerge w:val="restart"/>
          </w:tcPr>
          <w:p>
            <w:pPr>
              <w:jc w:val="center"/>
              <w:ind w:left="39"/>
              <w:spacing w:after="0"/>
              <w:rPr>
                <w:sz w:val="20"/>
                <w:szCs w:val="20"/>
                <w:color w:val="auto"/>
              </w:rPr>
            </w:pPr>
            <w:r>
              <w:rPr>
                <w:rFonts w:ascii="Arial" w:cs="Arial" w:eastAsia="Arial" w:hAnsi="Arial"/>
                <w:sz w:val="14"/>
                <w:szCs w:val="14"/>
                <w:b w:val="1"/>
                <w:bCs w:val="1"/>
                <w:color w:val="auto"/>
                <w:w w:val="89"/>
              </w:rPr>
              <w:t>Net loss per</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50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6"/>
              </w:rPr>
              <w:t>from</w:t>
            </w:r>
          </w:p>
        </w:tc>
        <w:tc>
          <w:tcPr>
            <w:tcW w:w="220" w:type="dxa"/>
            <w:vAlign w:val="bottom"/>
          </w:tcPr>
          <w:p>
            <w:pPr>
              <w:spacing w:after="0"/>
              <w:rPr>
                <w:sz w:val="12"/>
                <w:szCs w:val="12"/>
                <w:color w:val="auto"/>
              </w:rPr>
            </w:pPr>
          </w:p>
        </w:tc>
        <w:tc>
          <w:tcPr>
            <w:tcW w:w="860" w:type="dxa"/>
            <w:vAlign w:val="bottom"/>
            <w:gridSpan w:val="2"/>
            <w:vMerge w:val="restart"/>
          </w:tcPr>
          <w:p>
            <w:pPr>
              <w:jc w:val="right"/>
              <w:ind w:right="340"/>
              <w:spacing w:after="0"/>
              <w:rPr>
                <w:sz w:val="20"/>
                <w:szCs w:val="20"/>
                <w:color w:val="auto"/>
              </w:rPr>
            </w:pPr>
            <w:r>
              <w:rPr>
                <w:rFonts w:ascii="Arial" w:cs="Arial" w:eastAsia="Arial" w:hAnsi="Arial"/>
                <w:sz w:val="14"/>
                <w:szCs w:val="14"/>
                <w:b w:val="1"/>
                <w:bCs w:val="1"/>
                <w:color w:val="auto"/>
                <w:w w:val="91"/>
              </w:rPr>
              <w:t>Net loss</w:t>
            </w:r>
          </w:p>
        </w:tc>
        <w:tc>
          <w:tcPr>
            <w:tcW w:w="1080" w:type="dxa"/>
            <w:vAlign w:val="bottom"/>
            <w:gridSpan w:val="4"/>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0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8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1"/>
              </w:rPr>
              <w:t>Operations</w:t>
            </w:r>
          </w:p>
        </w:tc>
        <w:tc>
          <w:tcPr>
            <w:tcW w:w="22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share</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0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GAAP</w:t>
            </w:r>
          </w:p>
        </w:tc>
        <w:tc>
          <w:tcPr>
            <w:tcW w:w="88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(9,880)</w:t>
            </w:r>
          </w:p>
        </w:tc>
        <w:tc>
          <w:tcPr>
            <w:tcW w:w="2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83"/>
              </w:rPr>
              <w:t>$(9,822)</w:t>
            </w:r>
          </w:p>
        </w:tc>
        <w:tc>
          <w:tcPr>
            <w:tcW w:w="28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w w:val="71"/>
              </w:rPr>
              <w:t>$</w:t>
            </w:r>
          </w:p>
        </w:tc>
        <w:tc>
          <w:tcPr>
            <w:tcW w:w="580" w:type="dxa"/>
            <w:vAlign w:val="bottom"/>
            <w:tcBorders>
              <w:top w:val="single" w:sz="8" w:color="auto"/>
            </w:tcBorders>
            <w:shd w:val="clear" w:color="auto" w:fill="CCEEFF"/>
          </w:tcPr>
          <w:p>
            <w:pPr>
              <w:ind w:left="200"/>
              <w:spacing w:after="0"/>
              <w:rPr>
                <w:sz w:val="20"/>
                <w:szCs w:val="20"/>
                <w:color w:val="auto"/>
              </w:rPr>
            </w:pPr>
            <w:r>
              <w:rPr>
                <w:rFonts w:ascii="Arial" w:cs="Arial" w:eastAsia="Arial" w:hAnsi="Arial"/>
                <w:sz w:val="18"/>
                <w:szCs w:val="18"/>
                <w:b w:val="1"/>
                <w:bCs w:val="1"/>
                <w:color w:val="auto"/>
                <w:w w:val="76"/>
              </w:rPr>
              <w:t>(0.39)</w:t>
            </w:r>
          </w:p>
        </w:tc>
        <w:tc>
          <w:tcPr>
            <w:tcW w:w="12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5060" w:type="dxa"/>
            <w:vAlign w:val="bottom"/>
            <w:gridSpan w:val="2"/>
          </w:tcPr>
          <w:p>
            <w:pPr>
              <w:spacing w:after="0"/>
              <w:rPr>
                <w:sz w:val="20"/>
                <w:szCs w:val="20"/>
                <w:color w:val="auto"/>
              </w:rPr>
            </w:pPr>
            <w:r>
              <w:rPr>
                <w:rFonts w:ascii="Arial" w:cs="Arial" w:eastAsia="Arial" w:hAnsi="Arial"/>
                <w:sz w:val="18"/>
                <w:szCs w:val="18"/>
                <w:b w:val="1"/>
                <w:bCs w:val="1"/>
                <w:color w:val="auto"/>
              </w:rPr>
              <w:t>Non-GAAP Adjustments:</w:t>
            </w:r>
          </w:p>
        </w:tc>
        <w:tc>
          <w:tcPr>
            <w:tcW w:w="8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0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40" w:type="dxa"/>
            <w:vAlign w:val="bottom"/>
            <w:shd w:val="clear" w:color="auto" w:fill="CCEEFF"/>
          </w:tcPr>
          <w:p>
            <w:pPr>
              <w:spacing w:after="0"/>
              <w:rPr>
                <w:sz w:val="20"/>
                <w:szCs w:val="20"/>
                <w:color w:val="auto"/>
              </w:rPr>
            </w:pPr>
            <w:r>
              <w:rPr>
                <w:rFonts w:ascii="Arial" w:cs="Arial" w:eastAsia="Arial" w:hAnsi="Arial"/>
                <w:sz w:val="18"/>
                <w:szCs w:val="18"/>
                <w:color w:val="auto"/>
              </w:rPr>
              <w:t>Stock-based compensation – General &amp; Admin (a)</w:t>
            </w:r>
          </w:p>
        </w:tc>
        <w:tc>
          <w:tcPr>
            <w:tcW w:w="8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821</w:t>
            </w:r>
          </w:p>
        </w:tc>
        <w:tc>
          <w:tcPr>
            <w:tcW w:w="2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821</w:t>
            </w: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40" w:type="dxa"/>
            <w:vAlign w:val="bottom"/>
          </w:tcPr>
          <w:p>
            <w:pPr>
              <w:spacing w:after="0"/>
              <w:rPr>
                <w:sz w:val="20"/>
                <w:szCs w:val="20"/>
                <w:color w:val="auto"/>
              </w:rPr>
            </w:pPr>
            <w:r>
              <w:rPr>
                <w:rFonts w:ascii="Arial" w:cs="Arial" w:eastAsia="Arial" w:hAnsi="Arial"/>
                <w:sz w:val="18"/>
                <w:szCs w:val="18"/>
                <w:color w:val="auto"/>
              </w:rPr>
              <w:t>Stock-based compensation – Research &amp; Development (a)</w:t>
            </w:r>
          </w:p>
        </w:tc>
        <w:tc>
          <w:tcPr>
            <w:tcW w:w="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177</w:t>
            </w:r>
          </w:p>
        </w:tc>
        <w:tc>
          <w:tcPr>
            <w:tcW w:w="280" w:type="dxa"/>
            <w:vAlign w:val="bottom"/>
          </w:tcPr>
          <w:p>
            <w:pPr>
              <w:spacing w:after="0"/>
              <w:rPr>
                <w:sz w:val="18"/>
                <w:szCs w:val="18"/>
                <w:color w:val="auto"/>
              </w:rPr>
            </w:pP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177</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40" w:type="dxa"/>
            <w:vAlign w:val="bottom"/>
            <w:shd w:val="clear" w:color="auto" w:fill="CCEEFF"/>
          </w:tcPr>
          <w:p>
            <w:pPr>
              <w:spacing w:after="0"/>
              <w:rPr>
                <w:sz w:val="20"/>
                <w:szCs w:val="20"/>
                <w:color w:val="auto"/>
              </w:rPr>
            </w:pPr>
            <w:r>
              <w:rPr>
                <w:rFonts w:ascii="Arial" w:cs="Arial" w:eastAsia="Arial" w:hAnsi="Arial"/>
                <w:sz w:val="18"/>
                <w:szCs w:val="18"/>
                <w:color w:val="auto"/>
              </w:rPr>
              <w:t>Non-cash interest expense (b)</w:t>
            </w:r>
          </w:p>
        </w:tc>
        <w:tc>
          <w:tcPr>
            <w:tcW w:w="8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65</w:t>
            </w: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0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80" w:type="dxa"/>
            <w:vAlign w:val="bottom"/>
            <w:tcBorders>
              <w:bottom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Adjusted</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0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b w:val="1"/>
                <w:bCs w:val="1"/>
                <w:color w:val="auto"/>
              </w:rPr>
              <w:t>(8,882)</w:t>
            </w:r>
          </w:p>
        </w:tc>
        <w:tc>
          <w:tcPr>
            <w:tcW w:w="108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b w:val="1"/>
                <w:bCs w:val="1"/>
                <w:u w:val="single" w:color="auto"/>
                <w:color w:val="auto"/>
              </w:rPr>
              <w:t>$</w:t>
            </w:r>
            <w:r>
              <w:rPr>
                <w:rFonts w:ascii="Arial" w:cs="Arial" w:eastAsia="Arial" w:hAnsi="Arial"/>
                <w:sz w:val="18"/>
                <w:szCs w:val="18"/>
                <w:b w:val="1"/>
                <w:bCs w:val="1"/>
                <w:color w:val="auto"/>
              </w:rPr>
              <w:t>(8,759)</w:t>
            </w: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700" w:type="dxa"/>
            <w:vAlign w:val="bottom"/>
            <w:gridSpan w:val="2"/>
            <w:shd w:val="clear" w:color="auto" w:fill="CCEEFF"/>
          </w:tcPr>
          <w:p>
            <w:pPr>
              <w:ind w:left="200"/>
              <w:spacing w:after="0"/>
              <w:rPr>
                <w:sz w:val="20"/>
                <w:szCs w:val="20"/>
                <w:color w:val="auto"/>
              </w:rPr>
            </w:pPr>
            <w:r>
              <w:rPr>
                <w:rFonts w:ascii="Arial" w:cs="Arial" w:eastAsia="Arial" w:hAnsi="Arial"/>
                <w:sz w:val="18"/>
                <w:szCs w:val="18"/>
                <w:b w:val="1"/>
                <w:bCs w:val="1"/>
                <w:color w:val="auto"/>
              </w:rPr>
              <w:t>(0.35)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4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960" w:right="120" w:hanging="532"/>
        <w:spacing w:after="0" w:line="311" w:lineRule="auto"/>
        <w:tabs>
          <w:tab w:leader="none" w:pos="960" w:val="left"/>
        </w:tabs>
        <w:numPr>
          <w:ilvl w:val="0"/>
          <w:numId w:val="6"/>
        </w:numPr>
        <w:rPr>
          <w:rFonts w:ascii="Arial" w:cs="Arial" w:eastAsia="Arial" w:hAnsi="Arial"/>
          <w:sz w:val="16"/>
          <w:szCs w:val="16"/>
          <w:color w:val="auto"/>
        </w:rPr>
      </w:pPr>
      <w:r>
        <w:rPr>
          <w:rFonts w:ascii="Arial" w:cs="Arial" w:eastAsia="Arial" w:hAnsi="Arial"/>
          <w:sz w:val="16"/>
          <w:szCs w:val="16"/>
          <w:color w:val="auto"/>
        </w:rPr>
        <w:t>The effects of non-cash stock-based compensation are excluded because of varying available valuation methodologies and subjective assumptions. Verrica believes this is a useful measure for investors because such exclusion facilitates comparison to peer companies who also provide similar non-GAAP disclosures and is reflective of how management internally manages the business.</w:t>
      </w:r>
    </w:p>
    <w:p>
      <w:pPr>
        <w:spacing w:after="0" w:line="54" w:lineRule="exact"/>
        <w:rPr>
          <w:rFonts w:ascii="Arial" w:cs="Arial" w:eastAsia="Arial" w:hAnsi="Arial"/>
          <w:sz w:val="16"/>
          <w:szCs w:val="16"/>
          <w:color w:val="auto"/>
        </w:rPr>
      </w:pPr>
    </w:p>
    <w:p>
      <w:pPr>
        <w:ind w:left="960" w:hanging="532"/>
        <w:spacing w:after="0" w:line="263" w:lineRule="auto"/>
        <w:tabs>
          <w:tab w:leader="none" w:pos="9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effects of non-cash interest charges are excluded. Verrica believes such exclusion facilitates an understanding of the effects of the debt service obligations on the Company’s liquidity and comparisons to peer group companies and is reflective of how management internally manages the business.</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 MORE INFORMATION, PLEASE CONTACT: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Investors:</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 Brian Davis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484.453.3300 ext. 103</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info@verrica.com</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William Windham</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Solebury Trout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646.378.2946</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wwindham@soleburytrout.com</w:t>
      </w:r>
    </w:p>
    <w:p>
      <w:pPr>
        <w:spacing w:after="0" w:line="319" w:lineRule="exact"/>
        <w:rPr>
          <w:sz w:val="20"/>
          <w:szCs w:val="20"/>
          <w:color w:val="auto"/>
        </w:rPr>
      </w:pPr>
    </w:p>
    <w:p>
      <w:pPr>
        <w:spacing w:after="0"/>
        <w:rPr>
          <w:sz w:val="20"/>
          <w:szCs w:val="20"/>
          <w:color w:val="auto"/>
        </w:rPr>
      </w:pPr>
      <w:r>
        <w:rPr>
          <w:rFonts w:ascii="Arial" w:cs="Arial" w:eastAsia="Arial" w:hAnsi="Arial"/>
          <w:sz w:val="18"/>
          <w:szCs w:val="18"/>
          <w:color w:val="auto"/>
        </w:rPr>
        <w:t>Media:</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Zara Lockshin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Solebury Trout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646.378.2960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zlockshin@soleburytrout.com</w:t>
      </w:r>
    </w:p>
    <w:sectPr>
      <w:pgSz w:w="11900" w:h="16838" w:orient="portrait"/>
      <w:cols w:equalWidth="0" w:num="1">
        <w:col w:w="10960"/>
      </w:cols>
      <w:pgMar w:left="440" w:top="265" w:right="4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endash "/>
      <w:numFmt w:val="bullet"/>
      <w:start w:val="1"/>
    </w:lvl>
    <w:lvl w:ilvl="1">
      <w:lvlJc w:val="left"/>
      <w:lvlText w:val="\endash "/>
      <w:numFmt w:val="bullet"/>
      <w:start w:val="1"/>
    </w:lvl>
    <w:lvl w:ilvl="2">
      <w:lvlJc w:val="left"/>
      <w:lvlText w:val="\endash "/>
      <w:numFmt w:val="bullet"/>
      <w:start w:val="1"/>
    </w:lvl>
  </w:abstractNum>
  <w:abstractNum w:abstractNumId="2">
    <w:nsid w:val="238E1F29"/>
    <w:multiLevelType w:val="hybridMultilevel"/>
    <w:lvl w:ilvl="0">
      <w:lvlJc w:val="left"/>
      <w:lvlText w:val="•"/>
      <w:numFmt w:val="bullet"/>
      <w:start w:val="1"/>
    </w:lvl>
  </w:abstractNum>
  <w:abstractNum w:abstractNumId="3">
    <w:nsid w:val="46E87CCD"/>
    <w:multiLevelType w:val="hybridMultilevel"/>
    <w:lvl w:ilvl="0">
      <w:lvlJc w:val="left"/>
      <w:lvlText w:val="•"/>
      <w:numFmt w:val="bullet"/>
      <w:start w:val="1"/>
    </w:lvl>
  </w:abstractNum>
  <w:abstractNum w:abstractNumId="4">
    <w:nsid w:val="3D1B58BA"/>
    <w:multiLevelType w:val="hybridMultilevel"/>
    <w:lvl w:ilvl="0">
      <w:lvlJc w:val="left"/>
      <w:lvlText w:val="•"/>
      <w:numFmt w:val="bullet"/>
      <w:start w:val="1"/>
    </w:lvl>
  </w:abstractNum>
  <w:abstractNum w:abstractNumId="5">
    <w:nsid w:val="507ED7AB"/>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2021-05-07T06:48:26Z</dcterms:created>
  <dcterms:modified xsi:type="dcterms:W3CDTF">2021-05-07T06:48:26Z</dcterms:modified>
</cp:coreProperties>
</file>