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174625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90170</wp:posOffset>
            </wp:positionV>
            <wp:extent cx="142303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109855</wp:posOffset>
            </wp:positionV>
            <wp:extent cx="14230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51"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(Mark One)</w:t>
      </w:r>
    </w:p>
    <w:p>
      <w:pPr>
        <w:spacing w:after="0" w:line="19" w:lineRule="exact"/>
        <w:rPr>
          <w:sz w:val="24"/>
          <w:szCs w:val="24"/>
          <w:color w:val="auto"/>
        </w:rPr>
      </w:pPr>
    </w:p>
    <w:p>
      <w:pPr>
        <w:ind w:left="3880" w:right="1520" w:hanging="3872"/>
        <w:spacing w:after="0" w:line="391" w:lineRule="auto"/>
        <w:tabs>
          <w:tab w:leader="none" w:pos="570" w:val="left"/>
        </w:tabs>
        <w:numPr>
          <w:ilvl w:val="0"/>
          <w:numId w:val="1"/>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QUARTERLY REPORT PURSUANT TO SECTION 13 OR 15(d) OF THE SECURITIES EXCHANGE ACT OF 1934 For the quarterly period ended June 30, 2021</w:t>
      </w:r>
    </w:p>
    <w:p>
      <w:pPr>
        <w:spacing w:after="0" w:line="298" w:lineRule="exact"/>
        <w:rPr>
          <w:sz w:val="24"/>
          <w:szCs w:val="24"/>
          <w:color w:val="auto"/>
        </w:rPr>
      </w:pPr>
    </w:p>
    <w:p>
      <w:pPr>
        <w:ind w:left="580" w:hanging="572"/>
        <w:spacing w:after="0"/>
        <w:tabs>
          <w:tab w:leader="none" w:pos="580" w:val="left"/>
        </w:tabs>
        <w:numPr>
          <w:ilvl w:val="0"/>
          <w:numId w:val="2"/>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TRANSITION REPORT PURSUANT TO SECTION 13 OR 15(d) OF THE SECURITIES EXCHANGE ACT OF 1934</w:t>
      </w:r>
    </w:p>
    <w:p>
      <w:pPr>
        <w:spacing w:after="0" w:line="104" w:lineRule="exact"/>
        <w:rPr>
          <w:sz w:val="24"/>
          <w:szCs w:val="24"/>
          <w:color w:val="auto"/>
        </w:rPr>
      </w:pPr>
    </w:p>
    <w:p>
      <w:pPr>
        <w:ind w:left="3420"/>
        <w:spacing w:after="0"/>
        <w:tabs>
          <w:tab w:leader="none" w:pos="672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3"/>
          <w:szCs w:val="13"/>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3676650</wp:posOffset>
            </wp:positionH>
            <wp:positionV relativeFrom="paragraph">
              <wp:posOffset>-7620</wp:posOffset>
            </wp:positionV>
            <wp:extent cx="129476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94765" cy="8255"/>
                    </a:xfrm>
                    <a:prstGeom prst="rect">
                      <a:avLst/>
                    </a:prstGeom>
                    <a:noFill/>
                  </pic:spPr>
                </pic:pic>
              </a:graphicData>
            </a:graphic>
          </wp:anchor>
        </w:drawing>
      </w:r>
    </w:p>
    <w:p>
      <w:pPr>
        <w:spacing w:after="0" w:line="9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Number: 001-38529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111760</wp:posOffset>
            </wp:positionV>
            <wp:extent cx="14230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34"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Verrica Pharmaceuticals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90170</wp:posOffset>
            </wp:positionV>
            <wp:extent cx="14230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39"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4360" w:type="dxa"/>
            <w:vAlign w:val="bottom"/>
            <w:gridSpan w:val="2"/>
          </w:tcPr>
          <w:p>
            <w:pPr>
              <w:jc w:val="center"/>
              <w:ind w:left="1202"/>
              <w:spacing w:after="0"/>
              <w:rPr>
                <w:sz w:val="20"/>
                <w:szCs w:val="20"/>
                <w:color w:val="auto"/>
              </w:rPr>
            </w:pPr>
            <w:r>
              <w:rPr>
                <w:rFonts w:ascii="Arial" w:cs="Arial" w:eastAsia="Arial" w:hAnsi="Arial"/>
                <w:sz w:val="18"/>
                <w:szCs w:val="18"/>
                <w:b w:val="1"/>
                <w:bCs w:val="1"/>
                <w:color w:val="auto"/>
                <w:w w:val="91"/>
              </w:rPr>
              <w:t>Delaware</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120" w:type="dxa"/>
            <w:vAlign w:val="bottom"/>
          </w:tcPr>
          <w:p>
            <w:pPr>
              <w:jc w:val="right"/>
              <w:ind w:right="2305"/>
              <w:spacing w:after="0"/>
              <w:rPr>
                <w:sz w:val="20"/>
                <w:szCs w:val="20"/>
                <w:color w:val="auto"/>
              </w:rPr>
            </w:pPr>
            <w:r>
              <w:rPr>
                <w:rFonts w:ascii="Arial" w:cs="Arial" w:eastAsia="Arial" w:hAnsi="Arial"/>
                <w:sz w:val="18"/>
                <w:szCs w:val="18"/>
                <w:b w:val="1"/>
                <w:bCs w:val="1"/>
                <w:color w:val="auto"/>
              </w:rPr>
              <w:t>46-3137900</w:t>
            </w:r>
          </w:p>
        </w:tc>
        <w:tc>
          <w:tcPr>
            <w:tcW w:w="0" w:type="dxa"/>
            <w:vAlign w:val="bottom"/>
          </w:tcPr>
          <w:p>
            <w:pPr>
              <w:spacing w:after="0"/>
              <w:rPr>
                <w:sz w:val="1"/>
                <w:szCs w:val="1"/>
                <w:color w:val="auto"/>
              </w:rPr>
            </w:pPr>
          </w:p>
        </w:tc>
      </w:tr>
      <w:tr>
        <w:trPr>
          <w:trHeight w:val="135"/>
        </w:trPr>
        <w:tc>
          <w:tcPr>
            <w:tcW w:w="4360" w:type="dxa"/>
            <w:vAlign w:val="bottom"/>
            <w:gridSpan w:val="2"/>
          </w:tcPr>
          <w:p>
            <w:pPr>
              <w:jc w:val="center"/>
              <w:ind w:left="1182"/>
              <w:spacing w:after="0" w:line="135" w:lineRule="exact"/>
              <w:rPr>
                <w:sz w:val="20"/>
                <w:szCs w:val="20"/>
                <w:color w:val="auto"/>
              </w:rPr>
            </w:pPr>
            <w:r>
              <w:rPr>
                <w:rFonts w:ascii="Arial" w:cs="Arial" w:eastAsia="Arial" w:hAnsi="Arial"/>
                <w:sz w:val="13"/>
                <w:szCs w:val="13"/>
                <w:b w:val="1"/>
                <w:bCs w:val="1"/>
                <w:color w:val="auto"/>
                <w:w w:val="88"/>
              </w:rPr>
              <w:t>(State or other jurisdiction of</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120" w:type="dxa"/>
            <w:vAlign w:val="bottom"/>
          </w:tcPr>
          <w:p>
            <w:pPr>
              <w:jc w:val="center"/>
              <w:ind w:right="1425"/>
              <w:spacing w:after="0" w:line="135" w:lineRule="exact"/>
              <w:rPr>
                <w:sz w:val="20"/>
                <w:szCs w:val="20"/>
                <w:color w:val="auto"/>
              </w:rPr>
            </w:pPr>
            <w:r>
              <w:rPr>
                <w:rFonts w:ascii="Arial" w:cs="Arial" w:eastAsia="Arial" w:hAnsi="Arial"/>
                <w:sz w:val="13"/>
                <w:szCs w:val="13"/>
                <w:b w:val="1"/>
                <w:bCs w:val="1"/>
                <w:color w:val="auto"/>
                <w:w w:val="90"/>
              </w:rPr>
              <w:t>(I.R.S. Employer</w:t>
            </w:r>
          </w:p>
        </w:tc>
        <w:tc>
          <w:tcPr>
            <w:tcW w:w="0" w:type="dxa"/>
            <w:vAlign w:val="bottom"/>
          </w:tcPr>
          <w:p>
            <w:pPr>
              <w:spacing w:after="0"/>
              <w:rPr>
                <w:sz w:val="1"/>
                <w:szCs w:val="1"/>
                <w:color w:val="auto"/>
              </w:rPr>
            </w:pPr>
          </w:p>
        </w:tc>
      </w:tr>
      <w:tr>
        <w:trPr>
          <w:trHeight w:val="135"/>
        </w:trPr>
        <w:tc>
          <w:tcPr>
            <w:tcW w:w="4360" w:type="dxa"/>
            <w:vAlign w:val="bottom"/>
            <w:gridSpan w:val="2"/>
          </w:tcPr>
          <w:p>
            <w:pPr>
              <w:jc w:val="center"/>
              <w:ind w:left="1202"/>
              <w:spacing w:after="0" w:line="135" w:lineRule="exact"/>
              <w:rPr>
                <w:sz w:val="20"/>
                <w:szCs w:val="20"/>
                <w:color w:val="auto"/>
              </w:rPr>
            </w:pPr>
            <w:r>
              <w:rPr>
                <w:rFonts w:ascii="Arial" w:cs="Arial" w:eastAsia="Arial" w:hAnsi="Arial"/>
                <w:sz w:val="13"/>
                <w:szCs w:val="13"/>
                <w:b w:val="1"/>
                <w:bCs w:val="1"/>
                <w:color w:val="auto"/>
                <w:w w:val="88"/>
              </w:rPr>
              <w:t>incorporation or organization)</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120" w:type="dxa"/>
            <w:vAlign w:val="bottom"/>
          </w:tcPr>
          <w:p>
            <w:pPr>
              <w:jc w:val="center"/>
              <w:ind w:right="1425"/>
              <w:spacing w:after="0" w:line="135" w:lineRule="exact"/>
              <w:rPr>
                <w:sz w:val="20"/>
                <w:szCs w:val="20"/>
                <w:color w:val="auto"/>
              </w:rPr>
            </w:pPr>
            <w:r>
              <w:rPr>
                <w:rFonts w:ascii="Arial" w:cs="Arial" w:eastAsia="Arial" w:hAnsi="Arial"/>
                <w:sz w:val="13"/>
                <w:szCs w:val="13"/>
                <w:b w:val="1"/>
                <w:bCs w:val="1"/>
                <w:color w:val="auto"/>
                <w:w w:val="89"/>
              </w:rPr>
              <w:t>Identification No.)</w:t>
            </w:r>
          </w:p>
        </w:tc>
        <w:tc>
          <w:tcPr>
            <w:tcW w:w="0" w:type="dxa"/>
            <w:vAlign w:val="bottom"/>
          </w:tcPr>
          <w:p>
            <w:pPr>
              <w:spacing w:after="0"/>
              <w:rPr>
                <w:sz w:val="1"/>
                <w:szCs w:val="1"/>
                <w:color w:val="auto"/>
              </w:rPr>
            </w:pPr>
          </w:p>
        </w:tc>
      </w:tr>
      <w:tr>
        <w:trPr>
          <w:trHeight w:val="216"/>
        </w:trPr>
        <w:tc>
          <w:tcPr>
            <w:tcW w:w="4360" w:type="dxa"/>
            <w:vAlign w:val="bottom"/>
            <w:gridSpan w:val="2"/>
          </w:tcPr>
          <w:p>
            <w:pPr>
              <w:jc w:val="center"/>
              <w:ind w:left="1182"/>
              <w:spacing w:after="0"/>
              <w:rPr>
                <w:sz w:val="20"/>
                <w:szCs w:val="20"/>
                <w:color w:val="auto"/>
              </w:rPr>
            </w:pPr>
            <w:r>
              <w:rPr>
                <w:rFonts w:ascii="Arial" w:cs="Arial" w:eastAsia="Arial" w:hAnsi="Arial"/>
                <w:sz w:val="18"/>
                <w:szCs w:val="18"/>
                <w:b w:val="1"/>
                <w:bCs w:val="1"/>
                <w:color w:val="auto"/>
                <w:w w:val="89"/>
              </w:rPr>
              <w:t>44 West Gay Street, Suite 400</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60" w:type="dxa"/>
            <w:vAlign w:val="bottom"/>
            <w:gridSpan w:val="2"/>
          </w:tcPr>
          <w:p>
            <w:pPr>
              <w:jc w:val="center"/>
              <w:ind w:left="1202"/>
              <w:spacing w:after="0"/>
              <w:rPr>
                <w:sz w:val="20"/>
                <w:szCs w:val="20"/>
                <w:color w:val="auto"/>
              </w:rPr>
            </w:pPr>
            <w:r>
              <w:rPr>
                <w:rFonts w:ascii="Arial" w:cs="Arial" w:eastAsia="Arial" w:hAnsi="Arial"/>
                <w:sz w:val="18"/>
                <w:szCs w:val="18"/>
                <w:b w:val="1"/>
                <w:bCs w:val="1"/>
                <w:color w:val="auto"/>
                <w:w w:val="87"/>
              </w:rPr>
              <w:t>West Chester, PA</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120" w:type="dxa"/>
            <w:vAlign w:val="bottom"/>
          </w:tcPr>
          <w:p>
            <w:pPr>
              <w:jc w:val="right"/>
              <w:ind w:right="2505"/>
              <w:spacing w:after="0"/>
              <w:rPr>
                <w:sz w:val="20"/>
                <w:szCs w:val="20"/>
                <w:color w:val="auto"/>
              </w:rPr>
            </w:pPr>
            <w:r>
              <w:rPr>
                <w:rFonts w:ascii="Arial" w:cs="Arial" w:eastAsia="Arial" w:hAnsi="Arial"/>
                <w:sz w:val="18"/>
                <w:szCs w:val="18"/>
                <w:b w:val="1"/>
                <w:bCs w:val="1"/>
                <w:color w:val="auto"/>
              </w:rPr>
              <w:t>19380</w:t>
            </w:r>
          </w:p>
        </w:tc>
        <w:tc>
          <w:tcPr>
            <w:tcW w:w="0" w:type="dxa"/>
            <w:vAlign w:val="bottom"/>
          </w:tcPr>
          <w:p>
            <w:pPr>
              <w:spacing w:after="0"/>
              <w:rPr>
                <w:sz w:val="1"/>
                <w:szCs w:val="1"/>
                <w:color w:val="auto"/>
              </w:rPr>
            </w:pPr>
          </w:p>
        </w:tc>
      </w:tr>
      <w:tr>
        <w:trPr>
          <w:trHeight w:val="164"/>
        </w:trPr>
        <w:tc>
          <w:tcPr>
            <w:tcW w:w="4360" w:type="dxa"/>
            <w:vAlign w:val="bottom"/>
            <w:gridSpan w:val="2"/>
          </w:tcPr>
          <w:p>
            <w:pPr>
              <w:jc w:val="center"/>
              <w:ind w:left="1202"/>
              <w:spacing w:after="0"/>
              <w:rPr>
                <w:sz w:val="20"/>
                <w:szCs w:val="20"/>
                <w:color w:val="auto"/>
              </w:rPr>
            </w:pPr>
            <w:r>
              <w:rPr>
                <w:rFonts w:ascii="Arial" w:cs="Arial" w:eastAsia="Arial" w:hAnsi="Arial"/>
                <w:sz w:val="13"/>
                <w:szCs w:val="13"/>
                <w:b w:val="1"/>
                <w:bCs w:val="1"/>
                <w:color w:val="auto"/>
                <w:w w:val="85"/>
              </w:rPr>
              <w:t>(Address of principal executive offices)</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120" w:type="dxa"/>
            <w:vAlign w:val="bottom"/>
          </w:tcPr>
          <w:p>
            <w:pPr>
              <w:jc w:val="center"/>
              <w:ind w:right="1425"/>
              <w:spacing w:after="0"/>
              <w:rPr>
                <w:sz w:val="20"/>
                <w:szCs w:val="20"/>
                <w:color w:val="auto"/>
              </w:rPr>
            </w:pPr>
            <w:r>
              <w:rPr>
                <w:rFonts w:ascii="Arial" w:cs="Arial" w:eastAsia="Arial" w:hAnsi="Arial"/>
                <w:sz w:val="13"/>
                <w:szCs w:val="13"/>
                <w:b w:val="1"/>
                <w:bCs w:val="1"/>
                <w:color w:val="auto"/>
                <w:w w:val="90"/>
              </w:rPr>
              <w:t>(Zip Code)</w:t>
            </w:r>
          </w:p>
        </w:tc>
        <w:tc>
          <w:tcPr>
            <w:tcW w:w="0" w:type="dxa"/>
            <w:vAlign w:val="bottom"/>
          </w:tcPr>
          <w:p>
            <w:pPr>
              <w:spacing w:after="0"/>
              <w:rPr>
                <w:sz w:val="1"/>
                <w:szCs w:val="1"/>
                <w:color w:val="auto"/>
              </w:rPr>
            </w:pPr>
          </w:p>
        </w:tc>
      </w:tr>
      <w:tr>
        <w:trPr>
          <w:trHeight w:val="273"/>
        </w:trPr>
        <w:tc>
          <w:tcPr>
            <w:tcW w:w="11240" w:type="dxa"/>
            <w:vAlign w:val="bottom"/>
            <w:gridSpan w:val="9"/>
          </w:tcPr>
          <w:p>
            <w:pPr>
              <w:jc w:val="center"/>
              <w:spacing w:after="0"/>
              <w:rPr>
                <w:sz w:val="20"/>
                <w:szCs w:val="20"/>
                <w:color w:val="auto"/>
              </w:rPr>
            </w:pPr>
            <w:r>
              <w:rPr>
                <w:rFonts w:ascii="Arial" w:cs="Arial" w:eastAsia="Arial" w:hAnsi="Arial"/>
                <w:sz w:val="18"/>
                <w:szCs w:val="18"/>
                <w:b w:val="1"/>
                <w:bCs w:val="1"/>
                <w:color w:val="auto"/>
                <w:w w:val="89"/>
              </w:rPr>
              <w:t>Registrant’s telephone number, including area code: (484) 453-3300</w:t>
            </w:r>
          </w:p>
        </w:tc>
        <w:tc>
          <w:tcPr>
            <w:tcW w:w="0" w:type="dxa"/>
            <w:vAlign w:val="bottom"/>
          </w:tcPr>
          <w:p>
            <w:pPr>
              <w:spacing w:after="0"/>
              <w:rPr>
                <w:sz w:val="1"/>
                <w:szCs w:val="1"/>
                <w:color w:val="auto"/>
              </w:rPr>
            </w:pPr>
          </w:p>
        </w:tc>
      </w:tr>
      <w:tr>
        <w:trPr>
          <w:trHeight w:val="432"/>
        </w:trPr>
        <w:tc>
          <w:tcPr>
            <w:tcW w:w="4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20" w:type="dxa"/>
            <w:vAlign w:val="bottom"/>
            <w:gridSpan w:val="4"/>
          </w:tcPr>
          <w:p>
            <w:pPr>
              <w:ind w:left="860"/>
              <w:spacing w:after="0"/>
              <w:rPr>
                <w:sz w:val="20"/>
                <w:szCs w:val="20"/>
                <w:color w:val="auto"/>
              </w:rPr>
            </w:pPr>
            <w:r>
              <w:rPr>
                <w:rFonts w:ascii="Arial" w:cs="Arial" w:eastAsia="Arial" w:hAnsi="Arial"/>
                <w:sz w:val="18"/>
                <w:szCs w:val="18"/>
                <w:b w:val="1"/>
                <w:bCs w:val="1"/>
                <w:color w:val="auto"/>
              </w:rPr>
              <w:t>N/A</w:t>
            </w:r>
          </w:p>
        </w:tc>
        <w:tc>
          <w:tcPr>
            <w:tcW w:w="4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7"/>
        </w:trPr>
        <w:tc>
          <w:tcPr>
            <w:tcW w:w="4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760" w:type="dxa"/>
            <w:vAlign w:val="bottom"/>
            <w:gridSpan w:val="6"/>
          </w:tcPr>
          <w:p>
            <w:pPr>
              <w:jc w:val="center"/>
              <w:ind w:right="220"/>
              <w:spacing w:after="0"/>
              <w:rPr>
                <w:sz w:val="20"/>
                <w:szCs w:val="20"/>
                <w:color w:val="auto"/>
              </w:rPr>
            </w:pPr>
            <w:r>
              <w:rPr>
                <w:rFonts w:ascii="Arial" w:cs="Arial" w:eastAsia="Arial" w:hAnsi="Arial"/>
                <w:sz w:val="13"/>
                <w:szCs w:val="13"/>
                <w:b w:val="1"/>
                <w:bCs w:val="1"/>
                <w:color w:val="auto"/>
                <w:w w:val="86"/>
              </w:rPr>
              <w:t>(Former address of principal executive offices)</w:t>
            </w:r>
          </w:p>
        </w:tc>
        <w:tc>
          <w:tcPr>
            <w:tcW w:w="4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4"/>
        </w:trPr>
        <w:tc>
          <w:tcPr>
            <w:tcW w:w="4360" w:type="dxa"/>
            <w:vAlign w:val="bottom"/>
            <w:gridSpan w:val="2"/>
            <w:vMerge w:val="restart"/>
          </w:tcPr>
          <w:p>
            <w:pPr>
              <w:ind w:left="600"/>
              <w:spacing w:after="0"/>
              <w:rPr>
                <w:sz w:val="20"/>
                <w:szCs w:val="20"/>
                <w:color w:val="auto"/>
              </w:rPr>
            </w:pPr>
            <w:r>
              <w:rPr>
                <w:rFonts w:ascii="Arial" w:cs="Arial" w:eastAsia="Arial" w:hAnsi="Arial"/>
                <w:sz w:val="16"/>
                <w:szCs w:val="16"/>
                <w:color w:val="auto"/>
                <w:w w:val="92"/>
              </w:rPr>
              <w:t>Securities registered pursuant to Section 12(b) of the Act:</w:t>
            </w: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58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540" w:type="dxa"/>
            <w:vAlign w:val="bottom"/>
            <w:tcBorders>
              <w:bottom w:val="single" w:sz="8" w:color="auto"/>
            </w:tcBorders>
          </w:tcPr>
          <w:p>
            <w:pPr>
              <w:spacing w:after="0"/>
              <w:rPr>
                <w:sz w:val="10"/>
                <w:szCs w:val="10"/>
                <w:color w:val="auto"/>
              </w:rPr>
            </w:pPr>
          </w:p>
        </w:tc>
        <w:tc>
          <w:tcPr>
            <w:tcW w:w="380" w:type="dxa"/>
            <w:vAlign w:val="bottom"/>
          </w:tcPr>
          <w:p>
            <w:pPr>
              <w:spacing w:after="0"/>
              <w:rPr>
                <w:sz w:val="10"/>
                <w:szCs w:val="10"/>
                <w:color w:val="auto"/>
              </w:rPr>
            </w:pPr>
          </w:p>
        </w:tc>
        <w:tc>
          <w:tcPr>
            <w:tcW w:w="4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8"/>
        </w:trPr>
        <w:tc>
          <w:tcPr>
            <w:tcW w:w="4360" w:type="dxa"/>
            <w:vAlign w:val="bottom"/>
            <w:gridSpan w:val="2"/>
            <w:vMerge w:val="continue"/>
          </w:tcPr>
          <w:p>
            <w:pPr>
              <w:spacing w:after="0"/>
              <w:rPr>
                <w:sz w:val="22"/>
                <w:szCs w:val="22"/>
                <w:color w:val="auto"/>
              </w:rPr>
            </w:pP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4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4360" w:type="dxa"/>
            <w:vAlign w:val="bottom"/>
            <w:gridSpan w:val="2"/>
            <w:vMerge w:val="restart"/>
          </w:tcPr>
          <w:p>
            <w:pPr>
              <w:jc w:val="center"/>
              <w:ind w:right="80"/>
              <w:spacing w:after="0"/>
              <w:rPr>
                <w:sz w:val="20"/>
                <w:szCs w:val="20"/>
                <w:color w:val="auto"/>
              </w:rPr>
            </w:pPr>
            <w:r>
              <w:rPr>
                <w:rFonts w:ascii="Arial" w:cs="Arial" w:eastAsia="Arial" w:hAnsi="Arial"/>
                <w:sz w:val="14"/>
                <w:szCs w:val="14"/>
                <w:b w:val="1"/>
                <w:bCs w:val="1"/>
                <w:color w:val="auto"/>
                <w:w w:val="89"/>
              </w:rPr>
              <w:t>Title of each class</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20" w:type="dxa"/>
            <w:vAlign w:val="bottom"/>
            <w:gridSpan w:val="4"/>
          </w:tcPr>
          <w:p>
            <w:pPr>
              <w:jc w:val="center"/>
              <w:ind w:right="1120"/>
              <w:spacing w:after="0"/>
              <w:rPr>
                <w:sz w:val="20"/>
                <w:szCs w:val="20"/>
                <w:color w:val="auto"/>
              </w:rPr>
            </w:pPr>
            <w:r>
              <w:rPr>
                <w:rFonts w:ascii="Arial" w:cs="Arial" w:eastAsia="Arial" w:hAnsi="Arial"/>
                <w:sz w:val="14"/>
                <w:szCs w:val="14"/>
                <w:b w:val="1"/>
                <w:bCs w:val="1"/>
                <w:color w:val="auto"/>
                <w:w w:val="97"/>
              </w:rPr>
              <w:t>Trading</w:t>
            </w:r>
          </w:p>
        </w:tc>
        <w:tc>
          <w:tcPr>
            <w:tcW w:w="4120" w:type="dxa"/>
            <w:vAlign w:val="bottom"/>
            <w:vMerge w:val="restart"/>
          </w:tcPr>
          <w:p>
            <w:pPr>
              <w:jc w:val="center"/>
              <w:ind w:right="845"/>
              <w:spacing w:after="0"/>
              <w:rPr>
                <w:sz w:val="20"/>
                <w:szCs w:val="20"/>
                <w:color w:val="auto"/>
              </w:rPr>
            </w:pPr>
            <w:r>
              <w:rPr>
                <w:rFonts w:ascii="Arial" w:cs="Arial" w:eastAsia="Arial" w:hAnsi="Arial"/>
                <w:sz w:val="14"/>
                <w:szCs w:val="14"/>
                <w:b w:val="1"/>
                <w:bCs w:val="1"/>
                <w:color w:val="auto"/>
                <w:w w:val="90"/>
              </w:rPr>
              <w:t>Name of each exchange on which registered</w:t>
            </w:r>
          </w:p>
        </w:tc>
        <w:tc>
          <w:tcPr>
            <w:tcW w:w="0" w:type="dxa"/>
            <w:vAlign w:val="bottom"/>
          </w:tcPr>
          <w:p>
            <w:pPr>
              <w:spacing w:after="0"/>
              <w:rPr>
                <w:sz w:val="1"/>
                <w:szCs w:val="1"/>
                <w:color w:val="auto"/>
              </w:rPr>
            </w:pPr>
          </w:p>
        </w:tc>
      </w:tr>
      <w:tr>
        <w:trPr>
          <w:trHeight w:val="171"/>
        </w:trPr>
        <w:tc>
          <w:tcPr>
            <w:tcW w:w="4360" w:type="dxa"/>
            <w:vAlign w:val="bottom"/>
            <w:gridSpan w:val="2"/>
            <w:vMerge w:val="continue"/>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20" w:type="dxa"/>
            <w:vAlign w:val="bottom"/>
            <w:gridSpan w:val="4"/>
          </w:tcPr>
          <w:p>
            <w:pPr>
              <w:jc w:val="center"/>
              <w:ind w:right="1120"/>
              <w:spacing w:after="0"/>
              <w:rPr>
                <w:sz w:val="20"/>
                <w:szCs w:val="20"/>
                <w:color w:val="auto"/>
              </w:rPr>
            </w:pPr>
            <w:r>
              <w:rPr>
                <w:rFonts w:ascii="Arial" w:cs="Arial" w:eastAsia="Arial" w:hAnsi="Arial"/>
                <w:sz w:val="14"/>
                <w:szCs w:val="14"/>
                <w:b w:val="1"/>
                <w:bCs w:val="1"/>
                <w:color w:val="auto"/>
                <w:w w:val="91"/>
              </w:rPr>
              <w:t>Symbol(s)</w:t>
            </w:r>
          </w:p>
        </w:tc>
        <w:tc>
          <w:tcPr>
            <w:tcW w:w="41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428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w w:val="91"/>
              </w:rPr>
              <w:t>Common Stock, $0.0001 par value</w:t>
            </w: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580" w:type="dxa"/>
            <w:vAlign w:val="bottom"/>
            <w:tcBorders>
              <w:top w:val="single" w:sz="8" w:color="auto"/>
            </w:tcBorders>
          </w:tcPr>
          <w:p>
            <w:pPr>
              <w:jc w:val="center"/>
              <w:ind w:right="1"/>
              <w:spacing w:after="0"/>
              <w:rPr>
                <w:sz w:val="20"/>
                <w:szCs w:val="20"/>
                <w:color w:val="auto"/>
              </w:rPr>
            </w:pPr>
            <w:r>
              <w:rPr>
                <w:rFonts w:ascii="Arial" w:cs="Arial" w:eastAsia="Arial" w:hAnsi="Arial"/>
                <w:sz w:val="16"/>
                <w:szCs w:val="16"/>
                <w:color w:val="auto"/>
              </w:rPr>
              <w:t>VRCA</w:t>
            </w:r>
          </w:p>
        </w:tc>
        <w:tc>
          <w:tcPr>
            <w:tcW w:w="120" w:type="dxa"/>
            <w:vAlign w:val="bottom"/>
          </w:tcPr>
          <w:p>
            <w:pPr>
              <w:spacing w:after="0"/>
              <w:rPr>
                <w:sz w:val="17"/>
                <w:szCs w:val="17"/>
                <w:color w:val="auto"/>
              </w:rPr>
            </w:pPr>
          </w:p>
        </w:tc>
        <w:tc>
          <w:tcPr>
            <w:tcW w:w="920" w:type="dxa"/>
            <w:vAlign w:val="bottom"/>
            <w:tcBorders>
              <w:top w:val="single" w:sz="8" w:color="auto"/>
            </w:tcBorders>
            <w:gridSpan w:val="2"/>
          </w:tcPr>
          <w:p>
            <w:pPr>
              <w:spacing w:after="0"/>
              <w:rPr>
                <w:sz w:val="17"/>
                <w:szCs w:val="17"/>
                <w:color w:val="auto"/>
              </w:rPr>
            </w:pPr>
          </w:p>
        </w:tc>
        <w:tc>
          <w:tcPr>
            <w:tcW w:w="4120" w:type="dxa"/>
            <w:vAlign w:val="bottom"/>
            <w:tcBorders>
              <w:top w:val="single" w:sz="8" w:color="auto"/>
            </w:tcBorders>
          </w:tcPr>
          <w:p>
            <w:pPr>
              <w:jc w:val="center"/>
              <w:ind w:right="845"/>
              <w:spacing w:after="0"/>
              <w:rPr>
                <w:sz w:val="20"/>
                <w:szCs w:val="20"/>
                <w:color w:val="auto"/>
              </w:rPr>
            </w:pPr>
            <w:r>
              <w:rPr>
                <w:rFonts w:ascii="Arial" w:cs="Arial" w:eastAsia="Arial" w:hAnsi="Arial"/>
                <w:sz w:val="16"/>
                <w:szCs w:val="16"/>
                <w:color w:val="auto"/>
                <w:w w:val="93"/>
              </w:rPr>
              <w:t>The Nasdaq Stock Market LLC</w:t>
            </w:r>
          </w:p>
        </w:tc>
        <w:tc>
          <w:tcPr>
            <w:tcW w:w="0" w:type="dxa"/>
            <w:vAlign w:val="bottom"/>
          </w:tcPr>
          <w:p>
            <w:pPr>
              <w:spacing w:after="0"/>
              <w:rPr>
                <w:sz w:val="1"/>
                <w:szCs w:val="1"/>
                <w:color w:val="auto"/>
              </w:rPr>
            </w:pPr>
          </w:p>
        </w:tc>
      </w:tr>
    </w:tbl>
    <w:p>
      <w:pPr>
        <w:spacing w:after="0" w:line="94" w:lineRule="exact"/>
        <w:rPr>
          <w:sz w:val="24"/>
          <w:szCs w:val="24"/>
          <w:color w:val="auto"/>
        </w:rPr>
      </w:pPr>
    </w:p>
    <w:p>
      <w:pPr>
        <w:jc w:val="both"/>
        <w:ind w:firstLine="599"/>
        <w:spacing w:after="0" w:line="304" w:lineRule="auto"/>
        <w:rPr>
          <w:sz w:val="20"/>
          <w:szCs w:val="20"/>
          <w:color w:val="auto"/>
        </w:rPr>
      </w:pPr>
      <w:r>
        <w:rPr>
          <w:rFonts w:ascii="Arial" w:cs="Arial" w:eastAsia="Arial" w:hAnsi="Arial"/>
          <w:sz w:val="14"/>
          <w:szCs w:val="14"/>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spacing w:after="0" w:line="1" w:lineRule="exact"/>
        <w:rPr>
          <w:sz w:val="24"/>
          <w:szCs w:val="24"/>
          <w:color w:val="auto"/>
        </w:rPr>
      </w:pPr>
    </w:p>
    <w:p>
      <w:pPr>
        <w:ind w:left="160"/>
        <w:spacing w:after="0" w:line="196" w:lineRule="exact"/>
        <w:tabs>
          <w:tab w:leader="none" w:pos="780" w:val="left"/>
        </w:tabs>
        <w:rPr>
          <w:sz w:val="20"/>
          <w:szCs w:val="20"/>
          <w:color w:val="auto"/>
        </w:rPr>
      </w:pPr>
      <w:r>
        <w:rPr>
          <w:rFonts w:ascii="Arial" w:cs="Arial" w:eastAsia="Arial" w:hAnsi="Arial"/>
          <w:sz w:val="16"/>
          <w:szCs w:val="16"/>
          <w:color w:val="auto"/>
        </w:rPr>
        <w:t xml:space="preserve">Yes </w:t>
      </w:r>
      <w:r>
        <w:rPr>
          <w:rFonts w:ascii="MS PGothic" w:cs="MS PGothic" w:eastAsia="MS PGothic" w:hAnsi="MS PGothic"/>
          <w:sz w:val="17"/>
          <w:szCs w:val="17"/>
          <w:color w:val="auto"/>
        </w:rPr>
        <w:t>☒</w:t>
      </w:r>
      <w:r>
        <w:rPr>
          <w:rFonts w:ascii="Arial" w:cs="Arial" w:eastAsia="Arial" w:hAnsi="Arial"/>
          <w:sz w:val="16"/>
          <w:szCs w:val="16"/>
          <w:color w:val="auto"/>
        </w:rPr>
        <w:tab/>
        <w:t xml:space="preserve">No </w:t>
      </w:r>
      <w:r>
        <w:rPr>
          <w:rFonts w:ascii="MS PGothic" w:cs="MS PGothic" w:eastAsia="MS PGothic" w:hAnsi="MS PGothic"/>
          <w:sz w:val="17"/>
          <w:szCs w:val="17"/>
          <w:color w:val="auto"/>
        </w:rPr>
        <w:t>☐</w:t>
      </w:r>
    </w:p>
    <w:p>
      <w:pPr>
        <w:spacing w:after="0" w:line="98" w:lineRule="exact"/>
        <w:rPr>
          <w:sz w:val="24"/>
          <w:szCs w:val="24"/>
          <w:color w:val="auto"/>
        </w:rPr>
      </w:pPr>
    </w:p>
    <w:p>
      <w:pPr>
        <w:ind w:right="100" w:firstLine="599"/>
        <w:spacing w:after="0" w:line="224" w:lineRule="exact"/>
        <w:rPr>
          <w:sz w:val="20"/>
          <w:szCs w:val="20"/>
          <w:color w:val="auto"/>
        </w:rPr>
      </w:pPr>
      <w:r>
        <w:rPr>
          <w:rFonts w:ascii="Arial" w:cs="Arial" w:eastAsia="Arial" w:hAnsi="Arial"/>
          <w:sz w:val="15"/>
          <w:szCs w:val="15"/>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6"/>
          <w:szCs w:val="16"/>
          <w:color w:val="auto"/>
        </w:rPr>
        <w:t>☒</w:t>
      </w:r>
      <w:r>
        <w:rPr>
          <w:rFonts w:ascii="Arial" w:cs="Arial" w:eastAsia="Arial" w:hAnsi="Arial"/>
          <w:sz w:val="15"/>
          <w:szCs w:val="15"/>
          <w:color w:val="auto"/>
        </w:rPr>
        <w:t xml:space="preserve"> No </w:t>
      </w:r>
      <w:r>
        <w:rPr>
          <w:rFonts w:ascii="MS PGothic" w:cs="MS PGothic" w:eastAsia="MS PGothic" w:hAnsi="MS PGothic"/>
          <w:sz w:val="16"/>
          <w:szCs w:val="16"/>
          <w:color w:val="auto"/>
        </w:rPr>
        <w:t>☐</w:t>
      </w:r>
    </w:p>
    <w:p>
      <w:pPr>
        <w:spacing w:after="0" w:line="39" w:lineRule="exact"/>
        <w:rPr>
          <w:sz w:val="24"/>
          <w:szCs w:val="24"/>
          <w:color w:val="auto"/>
        </w:rPr>
      </w:pPr>
    </w:p>
    <w:p>
      <w:pPr>
        <w:jc w:val="both"/>
        <w:ind w:right="260" w:firstLine="599"/>
        <w:spacing w:after="0" w:line="278"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2" w:lineRule="exact"/>
        <w:rPr>
          <w:sz w:val="24"/>
          <w:szCs w:val="24"/>
          <w:color w:val="auto"/>
        </w:rPr>
      </w:pPr>
    </w:p>
    <w:tbl>
      <w:tblPr>
        <w:tblLayout w:type="fixed"/>
        <w:tblInd w:w="0" w:type="dxa"/>
        <w:tblCellMar>
          <w:top w:w="0" w:type="dxa"/>
          <w:left w:w="0" w:type="dxa"/>
          <w:bottom w:w="0" w:type="dxa"/>
          <w:right w:w="0" w:type="dxa"/>
        </w:tblCellMar>
      </w:tblPr>
      <w:tr>
        <w:trPr>
          <w:trHeight w:val="283"/>
        </w:trPr>
        <w:tc>
          <w:tcPr>
            <w:tcW w:w="202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3500" w:type="dxa"/>
            <w:vAlign w:val="bottom"/>
          </w:tcPr>
          <w:p>
            <w:pPr>
              <w:ind w:left="220"/>
              <w:spacing w:after="0" w:line="181" w:lineRule="exact"/>
              <w:rPr>
                <w:sz w:val="20"/>
                <w:szCs w:val="20"/>
                <w:color w:val="auto"/>
              </w:rPr>
            </w:pPr>
            <w:r>
              <w:rPr>
                <w:rFonts w:ascii="MS PGothic" w:cs="MS PGothic" w:eastAsia="MS PGothic" w:hAnsi="MS PGothic"/>
                <w:sz w:val="18"/>
                <w:szCs w:val="18"/>
                <w:color w:val="auto"/>
              </w:rPr>
              <w:t>☐</w:t>
            </w:r>
          </w:p>
        </w:tc>
        <w:tc>
          <w:tcPr>
            <w:tcW w:w="5200" w:type="dxa"/>
            <w:vAlign w:val="bottom"/>
          </w:tcPr>
          <w:p>
            <w:pPr>
              <w:ind w:left="3120"/>
              <w:spacing w:after="0"/>
              <w:rPr>
                <w:sz w:val="20"/>
                <w:szCs w:val="20"/>
                <w:color w:val="auto"/>
              </w:rPr>
            </w:pPr>
            <w:r>
              <w:rPr>
                <w:rFonts w:ascii="Arial" w:cs="Arial" w:eastAsia="Arial" w:hAnsi="Arial"/>
                <w:sz w:val="16"/>
                <w:szCs w:val="16"/>
                <w:color w:val="auto"/>
              </w:rPr>
              <w:t>Accelerated filer</w:t>
            </w:r>
          </w:p>
        </w:tc>
        <w:tc>
          <w:tcPr>
            <w:tcW w:w="460" w:type="dxa"/>
            <w:vAlign w:val="bottom"/>
          </w:tcPr>
          <w:p>
            <w:pPr>
              <w:ind w:left="30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57"/>
        </w:trPr>
        <w:tc>
          <w:tcPr>
            <w:tcW w:w="2020" w:type="dxa"/>
            <w:vAlign w:val="bottom"/>
          </w:tcPr>
          <w:p>
            <w:pPr>
              <w:spacing w:after="0"/>
              <w:rPr>
                <w:sz w:val="20"/>
                <w:szCs w:val="20"/>
                <w:color w:val="auto"/>
              </w:rPr>
            </w:pPr>
            <w:r>
              <w:rPr>
                <w:rFonts w:ascii="Arial" w:cs="Arial" w:eastAsia="Arial" w:hAnsi="Arial"/>
                <w:sz w:val="16"/>
                <w:szCs w:val="16"/>
                <w:color w:val="auto"/>
              </w:rPr>
              <w:t>Non-accelerated filer</w:t>
            </w:r>
          </w:p>
        </w:tc>
        <w:tc>
          <w:tcPr>
            <w:tcW w:w="3500" w:type="dxa"/>
            <w:vAlign w:val="bottom"/>
          </w:tcPr>
          <w:p>
            <w:pPr>
              <w:ind w:left="220"/>
              <w:spacing w:after="0" w:line="181" w:lineRule="exact"/>
              <w:rPr>
                <w:sz w:val="20"/>
                <w:szCs w:val="20"/>
                <w:color w:val="auto"/>
              </w:rPr>
            </w:pPr>
            <w:r>
              <w:rPr>
                <w:rFonts w:ascii="MS PGothic" w:cs="MS PGothic" w:eastAsia="MS PGothic" w:hAnsi="MS PGothic"/>
                <w:sz w:val="18"/>
                <w:szCs w:val="18"/>
                <w:color w:val="auto"/>
              </w:rPr>
              <w:t>☒</w:t>
            </w:r>
          </w:p>
        </w:tc>
        <w:tc>
          <w:tcPr>
            <w:tcW w:w="5200" w:type="dxa"/>
            <w:vAlign w:val="bottom"/>
          </w:tcPr>
          <w:p>
            <w:pPr>
              <w:ind w:left="3120"/>
              <w:spacing w:after="0"/>
              <w:rPr>
                <w:sz w:val="20"/>
                <w:szCs w:val="20"/>
                <w:color w:val="auto"/>
              </w:rPr>
            </w:pPr>
            <w:r>
              <w:rPr>
                <w:rFonts w:ascii="Arial" w:cs="Arial" w:eastAsia="Arial" w:hAnsi="Arial"/>
                <w:sz w:val="16"/>
                <w:szCs w:val="16"/>
                <w:color w:val="auto"/>
              </w:rPr>
              <w:t>Smaller reporting company</w:t>
            </w:r>
          </w:p>
        </w:tc>
        <w:tc>
          <w:tcPr>
            <w:tcW w:w="460" w:type="dxa"/>
            <w:vAlign w:val="bottom"/>
          </w:tcPr>
          <w:p>
            <w:pPr>
              <w:ind w:left="30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2020" w:type="dxa"/>
            <w:vAlign w:val="bottom"/>
          </w:tcPr>
          <w:p>
            <w:pPr>
              <w:spacing w:after="0"/>
              <w:rPr>
                <w:sz w:val="20"/>
                <w:szCs w:val="20"/>
                <w:color w:val="auto"/>
              </w:rPr>
            </w:pPr>
            <w:r>
              <w:rPr>
                <w:rFonts w:ascii="Arial" w:cs="Arial" w:eastAsia="Arial" w:hAnsi="Arial"/>
                <w:sz w:val="16"/>
                <w:szCs w:val="16"/>
                <w:color w:val="auto"/>
              </w:rPr>
              <w:t>Emerging growth company</w:t>
            </w:r>
          </w:p>
        </w:tc>
        <w:tc>
          <w:tcPr>
            <w:tcW w:w="3500" w:type="dxa"/>
            <w:vAlign w:val="bottom"/>
          </w:tcPr>
          <w:p>
            <w:pPr>
              <w:ind w:left="220"/>
              <w:spacing w:after="0" w:line="181" w:lineRule="exact"/>
              <w:rPr>
                <w:sz w:val="20"/>
                <w:szCs w:val="20"/>
                <w:color w:val="auto"/>
              </w:rPr>
            </w:pPr>
            <w:r>
              <w:rPr>
                <w:rFonts w:ascii="MS PGothic" w:cs="MS PGothic" w:eastAsia="MS PGothic" w:hAnsi="MS PGothic"/>
                <w:sz w:val="18"/>
                <w:szCs w:val="18"/>
                <w:color w:val="auto"/>
              </w:rPr>
              <w:t>☒</w:t>
            </w:r>
          </w:p>
        </w:tc>
        <w:tc>
          <w:tcPr>
            <w:tcW w:w="5200" w:type="dxa"/>
            <w:vAlign w:val="bottom"/>
          </w:tcPr>
          <w:p>
            <w:pPr>
              <w:spacing w:after="0"/>
              <w:rPr>
                <w:sz w:val="24"/>
                <w:szCs w:val="24"/>
                <w:color w:val="auto"/>
              </w:rPr>
            </w:pPr>
          </w:p>
        </w:tc>
        <w:tc>
          <w:tcPr>
            <w:tcW w:w="460" w:type="dxa"/>
            <w:vAlign w:val="bottom"/>
          </w:tcPr>
          <w:p>
            <w:pPr>
              <w:spacing w:after="0"/>
              <w:rPr>
                <w:sz w:val="24"/>
                <w:szCs w:val="24"/>
                <w:color w:val="auto"/>
              </w:rPr>
            </w:pPr>
          </w:p>
        </w:tc>
      </w:tr>
    </w:tbl>
    <w:p>
      <w:pPr>
        <w:spacing w:after="0" w:line="51" w:lineRule="exact"/>
        <w:rPr>
          <w:sz w:val="24"/>
          <w:szCs w:val="24"/>
          <w:color w:val="auto"/>
        </w:rPr>
      </w:pPr>
    </w:p>
    <w:p>
      <w:pPr>
        <w:ind w:right="500" w:firstLine="599"/>
        <w:spacing w:after="0" w:line="224"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7"/>
          <w:szCs w:val="17"/>
          <w:color w:val="auto"/>
        </w:rPr>
        <w:t>☒</w:t>
      </w:r>
    </w:p>
    <w:p>
      <w:pPr>
        <w:spacing w:after="0" w:line="1" w:lineRule="exact"/>
        <w:rPr>
          <w:sz w:val="24"/>
          <w:szCs w:val="24"/>
          <w:color w:val="auto"/>
        </w:rPr>
      </w:pPr>
    </w:p>
    <w:p>
      <w:pPr>
        <w:ind w:left="600" w:right="2040"/>
        <w:spacing w:after="0" w:line="270" w:lineRule="exact"/>
        <w:rPr>
          <w:sz w:val="20"/>
          <w:szCs w:val="20"/>
          <w:color w:val="auto"/>
        </w:rPr>
      </w:pPr>
      <w:r>
        <w:rPr>
          <w:rFonts w:ascii="Arial" w:cs="Arial" w:eastAsia="Arial" w:hAnsi="Arial"/>
          <w:sz w:val="15"/>
          <w:szCs w:val="15"/>
          <w:color w:val="auto"/>
        </w:rPr>
        <w:t xml:space="preserve">Indicate by check mark whether the registrant is a shell company (as defined in Rule 12b-2 of the Exchange Act). Yes </w:t>
      </w:r>
      <w:r>
        <w:rPr>
          <w:rFonts w:ascii="MS PGothic" w:cs="MS PGothic" w:eastAsia="MS PGothic" w:hAnsi="MS PGothic"/>
          <w:sz w:val="16"/>
          <w:szCs w:val="16"/>
          <w:color w:val="auto"/>
        </w:rPr>
        <w:t>☐</w:t>
      </w:r>
      <w:r>
        <w:rPr>
          <w:rFonts w:ascii="Arial" w:cs="Arial" w:eastAsia="Arial" w:hAnsi="Arial"/>
          <w:sz w:val="15"/>
          <w:szCs w:val="15"/>
          <w:color w:val="auto"/>
        </w:rPr>
        <w:t xml:space="preserve"> No </w:t>
      </w:r>
      <w:r>
        <w:rPr>
          <w:rFonts w:ascii="MS PGothic" w:cs="MS PGothic" w:eastAsia="MS PGothic" w:hAnsi="MS PGothic"/>
          <w:sz w:val="16"/>
          <w:szCs w:val="16"/>
          <w:color w:val="auto"/>
        </w:rPr>
        <w:t>☒</w:t>
      </w:r>
      <w:r>
        <w:rPr>
          <w:rFonts w:ascii="Arial" w:cs="Arial" w:eastAsia="Arial" w:hAnsi="Arial"/>
          <w:sz w:val="15"/>
          <w:szCs w:val="15"/>
          <w:color w:val="auto"/>
        </w:rPr>
        <w:t xml:space="preserve"> As of August 2, 2021, the registrant had 27,514,720 shares of common stock, $0.0001 par value per share,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90170</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107315</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257810</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09" w:right="339" w:bottom="1440" w:gutter="0" w:footer="0" w:header="0"/>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VERRICA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QUARTERLY REPORT ON FORM 10-Q</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9720" w:type="dxa"/>
            <w:vAlign w:val="bottom"/>
            <w:gridSpan w:val="15"/>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PART I. FINANCIAL INFORMATION</w:t>
              </w:r>
            </w:hyperlink>
          </w:p>
        </w:tc>
        <w:tc>
          <w:tcPr>
            <w:tcW w:w="1520" w:type="dxa"/>
            <w:vAlign w:val="bottom"/>
          </w:tcPr>
          <w:p>
            <w:pPr>
              <w:spacing w:after="0"/>
              <w:rPr>
                <w:sz w:val="17"/>
                <w:szCs w:val="17"/>
                <w:color w:val="auto"/>
              </w:rPr>
            </w:pPr>
          </w:p>
        </w:tc>
      </w:tr>
      <w:tr>
        <w:trPr>
          <w:trHeight w:val="20"/>
        </w:trPr>
        <w:tc>
          <w:tcPr>
            <w:tcW w:w="36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300" w:type="dxa"/>
            <w:vAlign w:val="bottom"/>
            <w:tcBorders>
              <w:right w:val="single" w:sz="8" w:color="0000EE"/>
            </w:tcBorders>
            <w:shd w:val="clear" w:color="auto" w:fill="0000E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r>
      <w:tr>
        <w:trPr>
          <w:trHeight w:val="412"/>
        </w:trPr>
        <w:tc>
          <w:tcPr>
            <w:tcW w:w="1920" w:type="dxa"/>
            <w:vAlign w:val="bottom"/>
            <w:gridSpan w:val="3"/>
          </w:tcPr>
          <w:p>
            <w:pPr>
              <w:ind w:left="360"/>
              <w:spacing w:after="0"/>
              <w:rPr>
                <w:sz w:val="20"/>
                <w:szCs w:val="20"/>
                <w:color w:val="auto"/>
              </w:rPr>
            </w:pPr>
            <w:r>
              <w:rPr>
                <w:rFonts w:ascii="Arial" w:cs="Arial" w:eastAsia="Arial" w:hAnsi="Arial"/>
                <w:sz w:val="18"/>
                <w:szCs w:val="18"/>
                <w:color w:val="auto"/>
              </w:rPr>
              <w:t>Item 1.</w:t>
            </w:r>
          </w:p>
        </w:tc>
        <w:tc>
          <w:tcPr>
            <w:tcW w:w="2420" w:type="dxa"/>
            <w:vAlign w:val="bottom"/>
            <w:tcBorders>
              <w:bottom w:val="single" w:sz="8" w:color="0000EE"/>
            </w:tcBorders>
            <w:gridSpan w:val="8"/>
          </w:tcPr>
          <w:p>
            <w:pPr>
              <w:spacing w:after="0"/>
              <w:rPr>
                <w:rFonts w:ascii="Arial" w:cs="Arial" w:eastAsia="Arial" w:hAnsi="Arial"/>
                <w:sz w:val="18"/>
                <w:szCs w:val="18"/>
                <w:color w:val="0000EE"/>
                <w:w w:val="89"/>
              </w:rPr>
            </w:pPr>
            <w:hyperlink w:anchor="page3">
              <w:r>
                <w:rPr>
                  <w:rFonts w:ascii="Arial" w:cs="Arial" w:eastAsia="Arial" w:hAnsi="Arial"/>
                  <w:sz w:val="18"/>
                  <w:szCs w:val="18"/>
                  <w:color w:val="0000EE"/>
                  <w:w w:val="89"/>
                </w:rPr>
                <w:t>Financial Statements (Unaudited)</w:t>
              </w:r>
            </w:hyperlink>
          </w:p>
        </w:tc>
        <w:tc>
          <w:tcPr>
            <w:tcW w:w="5380" w:type="dxa"/>
            <w:vAlign w:val="bottom"/>
            <w:gridSpan w:val="4"/>
          </w:tcPr>
          <w:p>
            <w:pPr>
              <w:spacing w:after="0"/>
              <w:rPr>
                <w:sz w:val="24"/>
                <w:szCs w:val="24"/>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318"/>
        </w:trPr>
        <w:tc>
          <w:tcPr>
            <w:tcW w:w="1920" w:type="dxa"/>
            <w:vAlign w:val="bottom"/>
            <w:gridSpan w:val="3"/>
          </w:tcPr>
          <w:p>
            <w:pPr>
              <w:ind w:left="360"/>
              <w:spacing w:after="0"/>
              <w:rPr>
                <w:sz w:val="20"/>
                <w:szCs w:val="20"/>
                <w:color w:val="auto"/>
              </w:rPr>
            </w:pPr>
            <w:r>
              <w:rPr>
                <w:rFonts w:ascii="Arial" w:cs="Arial" w:eastAsia="Arial" w:hAnsi="Arial"/>
                <w:sz w:val="18"/>
                <w:szCs w:val="18"/>
                <w:color w:val="auto"/>
              </w:rPr>
              <w:t>Item 2.</w:t>
            </w:r>
          </w:p>
        </w:tc>
        <w:tc>
          <w:tcPr>
            <w:tcW w:w="7800" w:type="dxa"/>
            <w:vAlign w:val="bottom"/>
            <w:gridSpan w:val="12"/>
          </w:tcPr>
          <w:p>
            <w:pPr>
              <w:spacing w:after="0"/>
              <w:rPr>
                <w:rFonts w:ascii="Arial" w:cs="Arial" w:eastAsia="Arial" w:hAnsi="Arial"/>
                <w:sz w:val="18"/>
                <w:szCs w:val="18"/>
                <w:color w:val="0000EE"/>
              </w:rPr>
            </w:pPr>
            <w:hyperlink w:anchor="page17">
              <w:r>
                <w:rPr>
                  <w:rFonts w:ascii="Arial" w:cs="Arial" w:eastAsia="Arial" w:hAnsi="Arial"/>
                  <w:sz w:val="18"/>
                  <w:szCs w:val="18"/>
                  <w:color w:val="0000EE"/>
                </w:rPr>
                <w:t>Management’s Discussion and Analysis of Financial Condition and Results of Operations</w:t>
              </w:r>
            </w:hyperlink>
          </w:p>
        </w:tc>
        <w:tc>
          <w:tcPr>
            <w:tcW w:w="152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318"/>
        </w:trPr>
        <w:tc>
          <w:tcPr>
            <w:tcW w:w="1920" w:type="dxa"/>
            <w:vAlign w:val="bottom"/>
            <w:gridSpan w:val="3"/>
          </w:tcPr>
          <w:p>
            <w:pPr>
              <w:ind w:left="360"/>
              <w:spacing w:after="0"/>
              <w:rPr>
                <w:sz w:val="20"/>
                <w:szCs w:val="20"/>
                <w:color w:val="auto"/>
              </w:rPr>
            </w:pPr>
            <w:r>
              <w:rPr>
                <w:rFonts w:ascii="Arial" w:cs="Arial" w:eastAsia="Arial" w:hAnsi="Arial"/>
                <w:sz w:val="18"/>
                <w:szCs w:val="18"/>
                <w:color w:val="auto"/>
              </w:rPr>
              <w:t>Item 3.</w:t>
            </w:r>
          </w:p>
        </w:tc>
        <w:tc>
          <w:tcPr>
            <w:tcW w:w="4420" w:type="dxa"/>
            <w:vAlign w:val="bottom"/>
            <w:tcBorders>
              <w:top w:val="single" w:sz="8" w:color="0000EE"/>
              <w:bottom w:val="single" w:sz="8" w:color="0000EE"/>
            </w:tcBorders>
            <w:gridSpan w:val="10"/>
          </w:tcPr>
          <w:p>
            <w:pPr>
              <w:spacing w:after="0"/>
              <w:rPr>
                <w:rFonts w:ascii="Arial" w:cs="Arial" w:eastAsia="Arial" w:hAnsi="Arial"/>
                <w:sz w:val="18"/>
                <w:szCs w:val="18"/>
                <w:color w:val="0000EE"/>
                <w:w w:val="91"/>
              </w:rPr>
            </w:pPr>
            <w:hyperlink w:anchor="page25">
              <w:r>
                <w:rPr>
                  <w:rFonts w:ascii="Arial" w:cs="Arial" w:eastAsia="Arial" w:hAnsi="Arial"/>
                  <w:sz w:val="18"/>
                  <w:szCs w:val="18"/>
                  <w:color w:val="0000EE"/>
                  <w:w w:val="91"/>
                </w:rPr>
                <w:t>Quantitative and Qualitative Disclosures About Market Risks</w:t>
              </w:r>
            </w:hyperlink>
          </w:p>
        </w:tc>
        <w:tc>
          <w:tcPr>
            <w:tcW w:w="2020" w:type="dxa"/>
            <w:vAlign w:val="bottom"/>
            <w:tcBorders>
              <w:top w:val="single" w:sz="8" w:color="0000EE"/>
            </w:tcBorders>
          </w:tcPr>
          <w:p>
            <w:pPr>
              <w:spacing w:after="0"/>
              <w:rPr>
                <w:sz w:val="24"/>
                <w:szCs w:val="24"/>
                <w:color w:val="auto"/>
              </w:rPr>
            </w:pPr>
          </w:p>
        </w:tc>
        <w:tc>
          <w:tcPr>
            <w:tcW w:w="1360" w:type="dxa"/>
            <w:vAlign w:val="bottom"/>
          </w:tcPr>
          <w:p>
            <w:pPr>
              <w:spacing w:after="0"/>
              <w:rPr>
                <w:sz w:val="24"/>
                <w:szCs w:val="24"/>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23</w:t>
            </w:r>
          </w:p>
        </w:tc>
      </w:tr>
      <w:tr>
        <w:trPr>
          <w:trHeight w:val="318"/>
        </w:trPr>
        <w:tc>
          <w:tcPr>
            <w:tcW w:w="1920" w:type="dxa"/>
            <w:vAlign w:val="bottom"/>
            <w:gridSpan w:val="3"/>
          </w:tcPr>
          <w:p>
            <w:pPr>
              <w:ind w:left="360"/>
              <w:spacing w:after="0"/>
              <w:rPr>
                <w:sz w:val="20"/>
                <w:szCs w:val="20"/>
                <w:color w:val="auto"/>
              </w:rPr>
            </w:pPr>
            <w:r>
              <w:rPr>
                <w:rFonts w:ascii="Arial" w:cs="Arial" w:eastAsia="Arial" w:hAnsi="Arial"/>
                <w:sz w:val="18"/>
                <w:szCs w:val="18"/>
                <w:color w:val="auto"/>
              </w:rPr>
              <w:t>Item 4.</w:t>
            </w:r>
          </w:p>
        </w:tc>
        <w:tc>
          <w:tcPr>
            <w:tcW w:w="7800" w:type="dxa"/>
            <w:vAlign w:val="bottom"/>
            <w:gridSpan w:val="12"/>
          </w:tcPr>
          <w:p>
            <w:pPr>
              <w:spacing w:after="0"/>
              <w:rPr>
                <w:rFonts w:ascii="Arial" w:cs="Arial" w:eastAsia="Arial" w:hAnsi="Arial"/>
                <w:sz w:val="18"/>
                <w:szCs w:val="18"/>
                <w:color w:val="0000EE"/>
              </w:rPr>
            </w:pPr>
            <w:hyperlink w:anchor="page25">
              <w:r>
                <w:rPr>
                  <w:rFonts w:ascii="Arial" w:cs="Arial" w:eastAsia="Arial" w:hAnsi="Arial"/>
                  <w:sz w:val="18"/>
                  <w:szCs w:val="18"/>
                  <w:color w:val="0000EE"/>
                </w:rPr>
                <w:t>Controls and Procedures</w:t>
              </w:r>
            </w:hyperlink>
          </w:p>
        </w:tc>
        <w:tc>
          <w:tcPr>
            <w:tcW w:w="1520" w:type="dxa"/>
            <w:vAlign w:val="bottom"/>
          </w:tcPr>
          <w:p>
            <w:pPr>
              <w:jc w:val="right"/>
              <w:spacing w:after="0"/>
              <w:rPr>
                <w:sz w:val="20"/>
                <w:szCs w:val="20"/>
                <w:color w:val="auto"/>
              </w:rPr>
            </w:pPr>
            <w:r>
              <w:rPr>
                <w:rFonts w:ascii="Arial" w:cs="Arial" w:eastAsia="Arial" w:hAnsi="Arial"/>
                <w:sz w:val="18"/>
                <w:szCs w:val="18"/>
                <w:color w:val="auto"/>
              </w:rPr>
              <w:t>23</w:t>
            </w:r>
          </w:p>
        </w:tc>
      </w:tr>
      <w:tr>
        <w:trPr>
          <w:trHeight w:val="20"/>
        </w:trPr>
        <w:tc>
          <w:tcPr>
            <w:tcW w:w="3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300" w:type="dxa"/>
            <w:vAlign w:val="bottom"/>
            <w:tcBorders>
              <w:right w:val="single" w:sz="8" w:color="0000EE"/>
            </w:tcBorders>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40" w:type="dxa"/>
            <w:vAlign w:val="bottom"/>
            <w:gridSpan w:val="2"/>
          </w:tcPr>
          <w:p>
            <w:pPr>
              <w:spacing w:after="0" w:line="20" w:lineRule="exact"/>
              <w:rPr>
                <w:sz w:val="1"/>
                <w:szCs w:val="1"/>
                <w:color w:val="auto"/>
              </w:rPr>
            </w:pPr>
          </w:p>
        </w:tc>
        <w:tc>
          <w:tcPr>
            <w:tcW w:w="3440" w:type="dxa"/>
            <w:vAlign w:val="bottom"/>
            <w:gridSpan w:val="3"/>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r>
      <w:tr>
        <w:trPr>
          <w:trHeight w:val="318"/>
        </w:trPr>
        <w:tc>
          <w:tcPr>
            <w:tcW w:w="2580" w:type="dxa"/>
            <w:vAlign w:val="bottom"/>
            <w:tcBorders>
              <w:bottom w:val="single" w:sz="8" w:color="0000EE"/>
            </w:tcBorders>
            <w:gridSpan w:val="5"/>
          </w:tcPr>
          <w:p>
            <w:pPr>
              <w:spacing w:after="0"/>
              <w:rPr>
                <w:rFonts w:ascii="Arial" w:cs="Arial" w:eastAsia="Arial" w:hAnsi="Arial"/>
                <w:sz w:val="18"/>
                <w:szCs w:val="18"/>
                <w:color w:val="0000EE"/>
                <w:w w:val="95"/>
              </w:rPr>
            </w:pPr>
            <w:hyperlink w:anchor="page26">
              <w:r>
                <w:rPr>
                  <w:rFonts w:ascii="Arial" w:cs="Arial" w:eastAsia="Arial" w:hAnsi="Arial"/>
                  <w:sz w:val="18"/>
                  <w:szCs w:val="18"/>
                  <w:color w:val="0000EE"/>
                  <w:w w:val="95"/>
                </w:rPr>
                <w:t>PART II. OTHER INFORMATION</w:t>
              </w:r>
            </w:hyperlink>
          </w:p>
        </w:tc>
        <w:tc>
          <w:tcPr>
            <w:tcW w:w="7140" w:type="dxa"/>
            <w:vAlign w:val="bottom"/>
            <w:gridSpan w:val="10"/>
          </w:tcPr>
          <w:p>
            <w:pPr>
              <w:spacing w:after="0"/>
              <w:rPr>
                <w:sz w:val="24"/>
                <w:szCs w:val="24"/>
                <w:color w:val="auto"/>
              </w:rPr>
            </w:pPr>
          </w:p>
        </w:tc>
        <w:tc>
          <w:tcPr>
            <w:tcW w:w="1520" w:type="dxa"/>
            <w:vAlign w:val="bottom"/>
          </w:tcPr>
          <w:p>
            <w:pPr>
              <w:spacing w:after="0"/>
              <w:rPr>
                <w:sz w:val="24"/>
                <w:szCs w:val="24"/>
                <w:color w:val="auto"/>
              </w:rPr>
            </w:pPr>
          </w:p>
        </w:tc>
      </w:tr>
      <w:tr>
        <w:trPr>
          <w:trHeight w:val="317"/>
        </w:trPr>
        <w:tc>
          <w:tcPr>
            <w:tcW w:w="1920" w:type="dxa"/>
            <w:vAlign w:val="bottom"/>
            <w:gridSpan w:val="3"/>
          </w:tcPr>
          <w:p>
            <w:pPr>
              <w:ind w:left="360"/>
              <w:spacing w:after="0"/>
              <w:rPr>
                <w:sz w:val="20"/>
                <w:szCs w:val="20"/>
                <w:color w:val="auto"/>
              </w:rPr>
            </w:pPr>
            <w:r>
              <w:rPr>
                <w:rFonts w:ascii="Arial" w:cs="Arial" w:eastAsia="Arial" w:hAnsi="Arial"/>
                <w:sz w:val="18"/>
                <w:szCs w:val="18"/>
                <w:color w:val="auto"/>
              </w:rPr>
              <w:t>Item 1.</w:t>
            </w:r>
          </w:p>
        </w:tc>
        <w:tc>
          <w:tcPr>
            <w:tcW w:w="7800" w:type="dxa"/>
            <w:vAlign w:val="bottom"/>
            <w:gridSpan w:val="12"/>
          </w:tcPr>
          <w:p>
            <w:pPr>
              <w:spacing w:after="0"/>
              <w:rPr>
                <w:rFonts w:ascii="Arial" w:cs="Arial" w:eastAsia="Arial" w:hAnsi="Arial"/>
                <w:sz w:val="18"/>
                <w:szCs w:val="18"/>
                <w:color w:val="0000EE"/>
              </w:rPr>
            </w:pPr>
            <w:hyperlink w:anchor="page26">
              <w:r>
                <w:rPr>
                  <w:rFonts w:ascii="Arial" w:cs="Arial" w:eastAsia="Arial" w:hAnsi="Arial"/>
                  <w:sz w:val="18"/>
                  <w:szCs w:val="18"/>
                  <w:color w:val="0000EE"/>
                </w:rPr>
                <w:t>Legal Proceedings</w:t>
              </w:r>
            </w:hyperlink>
          </w:p>
        </w:tc>
        <w:tc>
          <w:tcPr>
            <w:tcW w:w="152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318"/>
        </w:trPr>
        <w:tc>
          <w:tcPr>
            <w:tcW w:w="1920" w:type="dxa"/>
            <w:vAlign w:val="bottom"/>
            <w:gridSpan w:val="3"/>
          </w:tcPr>
          <w:p>
            <w:pPr>
              <w:ind w:left="360"/>
              <w:spacing w:after="0"/>
              <w:rPr>
                <w:sz w:val="20"/>
                <w:szCs w:val="20"/>
                <w:color w:val="auto"/>
              </w:rPr>
            </w:pPr>
            <w:r>
              <w:rPr>
                <w:rFonts w:ascii="Arial" w:cs="Arial" w:eastAsia="Arial" w:hAnsi="Arial"/>
                <w:sz w:val="18"/>
                <w:szCs w:val="18"/>
                <w:color w:val="auto"/>
              </w:rPr>
              <w:t>Item 1A.</w:t>
            </w:r>
          </w:p>
        </w:tc>
        <w:tc>
          <w:tcPr>
            <w:tcW w:w="960" w:type="dxa"/>
            <w:vAlign w:val="bottom"/>
            <w:tcBorders>
              <w:top w:val="single" w:sz="8" w:color="0000EE"/>
              <w:bottom w:val="single" w:sz="8" w:color="0000EE"/>
            </w:tcBorders>
            <w:gridSpan w:val="3"/>
          </w:tcPr>
          <w:p>
            <w:pPr>
              <w:spacing w:after="0"/>
              <w:rPr>
                <w:rFonts w:ascii="Arial" w:cs="Arial" w:eastAsia="Arial" w:hAnsi="Arial"/>
                <w:sz w:val="18"/>
                <w:szCs w:val="18"/>
                <w:color w:val="0000EE"/>
                <w:w w:val="91"/>
              </w:rPr>
            </w:pPr>
            <w:hyperlink w:anchor="page26">
              <w:r>
                <w:rPr>
                  <w:rFonts w:ascii="Arial" w:cs="Arial" w:eastAsia="Arial" w:hAnsi="Arial"/>
                  <w:sz w:val="18"/>
                  <w:szCs w:val="18"/>
                  <w:color w:val="0000EE"/>
                  <w:w w:val="91"/>
                </w:rPr>
                <w:t>Risk Factors</w:t>
              </w:r>
            </w:hyperlink>
          </w:p>
        </w:tc>
        <w:tc>
          <w:tcPr>
            <w:tcW w:w="360" w:type="dxa"/>
            <w:vAlign w:val="bottom"/>
            <w:tcBorders>
              <w:top w:val="single" w:sz="8" w:color="0000EE"/>
            </w:tcBorders>
            <w:gridSpan w:val="2"/>
          </w:tcPr>
          <w:p>
            <w:pPr>
              <w:spacing w:after="0"/>
              <w:rPr>
                <w:sz w:val="24"/>
                <w:szCs w:val="24"/>
                <w:color w:val="auto"/>
              </w:rPr>
            </w:pPr>
          </w:p>
        </w:tc>
        <w:tc>
          <w:tcPr>
            <w:tcW w:w="6480" w:type="dxa"/>
            <w:vAlign w:val="bottom"/>
            <w:gridSpan w:val="7"/>
          </w:tcPr>
          <w:p>
            <w:pPr>
              <w:spacing w:after="0"/>
              <w:rPr>
                <w:sz w:val="24"/>
                <w:szCs w:val="24"/>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318"/>
        </w:trPr>
        <w:tc>
          <w:tcPr>
            <w:tcW w:w="1920" w:type="dxa"/>
            <w:vAlign w:val="bottom"/>
            <w:gridSpan w:val="3"/>
          </w:tcPr>
          <w:p>
            <w:pPr>
              <w:ind w:left="360"/>
              <w:spacing w:after="0"/>
              <w:rPr>
                <w:sz w:val="20"/>
                <w:szCs w:val="20"/>
                <w:color w:val="auto"/>
              </w:rPr>
            </w:pPr>
            <w:r>
              <w:rPr>
                <w:rFonts w:ascii="Arial" w:cs="Arial" w:eastAsia="Arial" w:hAnsi="Arial"/>
                <w:sz w:val="18"/>
                <w:szCs w:val="18"/>
                <w:color w:val="auto"/>
              </w:rPr>
              <w:t>Item 2.</w:t>
            </w:r>
          </w:p>
        </w:tc>
        <w:tc>
          <w:tcPr>
            <w:tcW w:w="4360" w:type="dxa"/>
            <w:vAlign w:val="bottom"/>
            <w:tcBorders>
              <w:bottom w:val="single" w:sz="8" w:color="0000EE"/>
            </w:tcBorders>
            <w:gridSpan w:val="9"/>
          </w:tcPr>
          <w:p>
            <w:pPr>
              <w:spacing w:after="0"/>
              <w:rPr>
                <w:rFonts w:ascii="Arial" w:cs="Arial" w:eastAsia="Arial" w:hAnsi="Arial"/>
                <w:sz w:val="18"/>
                <w:szCs w:val="18"/>
                <w:color w:val="0000EE"/>
                <w:w w:val="88"/>
              </w:rPr>
            </w:pPr>
            <w:hyperlink w:anchor="page28">
              <w:r>
                <w:rPr>
                  <w:rFonts w:ascii="Arial" w:cs="Arial" w:eastAsia="Arial" w:hAnsi="Arial"/>
                  <w:sz w:val="18"/>
                  <w:szCs w:val="18"/>
                  <w:color w:val="0000EE"/>
                  <w:w w:val="88"/>
                </w:rPr>
                <w:t>Recent Sales of Unregistered Securities and Use of Proceeds</w:t>
              </w:r>
            </w:hyperlink>
          </w:p>
        </w:tc>
        <w:tc>
          <w:tcPr>
            <w:tcW w:w="3440" w:type="dxa"/>
            <w:vAlign w:val="bottom"/>
            <w:gridSpan w:val="3"/>
          </w:tcPr>
          <w:p>
            <w:pPr>
              <w:spacing w:after="0"/>
              <w:rPr>
                <w:sz w:val="24"/>
                <w:szCs w:val="24"/>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318"/>
        </w:trPr>
        <w:tc>
          <w:tcPr>
            <w:tcW w:w="1920" w:type="dxa"/>
            <w:vAlign w:val="bottom"/>
            <w:gridSpan w:val="3"/>
          </w:tcPr>
          <w:p>
            <w:pPr>
              <w:ind w:left="360"/>
              <w:spacing w:after="0"/>
              <w:rPr>
                <w:sz w:val="20"/>
                <w:szCs w:val="20"/>
                <w:color w:val="auto"/>
              </w:rPr>
            </w:pPr>
            <w:r>
              <w:rPr>
                <w:rFonts w:ascii="Arial" w:cs="Arial" w:eastAsia="Arial" w:hAnsi="Arial"/>
                <w:sz w:val="18"/>
                <w:szCs w:val="18"/>
                <w:color w:val="auto"/>
              </w:rPr>
              <w:t>Item 3.</w:t>
            </w:r>
          </w:p>
        </w:tc>
        <w:tc>
          <w:tcPr>
            <w:tcW w:w="2320" w:type="dxa"/>
            <w:vAlign w:val="bottom"/>
            <w:tcBorders>
              <w:bottom w:val="single" w:sz="8" w:color="0000EE"/>
            </w:tcBorders>
            <w:gridSpan w:val="7"/>
          </w:tcPr>
          <w:p>
            <w:pPr>
              <w:spacing w:after="0"/>
              <w:rPr>
                <w:rFonts w:ascii="Arial" w:cs="Arial" w:eastAsia="Arial" w:hAnsi="Arial"/>
                <w:sz w:val="18"/>
                <w:szCs w:val="18"/>
                <w:color w:val="0000EE"/>
                <w:w w:val="90"/>
              </w:rPr>
            </w:pPr>
            <w:hyperlink w:anchor="page28">
              <w:r>
                <w:rPr>
                  <w:rFonts w:ascii="Arial" w:cs="Arial" w:eastAsia="Arial" w:hAnsi="Arial"/>
                  <w:sz w:val="18"/>
                  <w:szCs w:val="18"/>
                  <w:color w:val="0000EE"/>
                  <w:w w:val="90"/>
                </w:rPr>
                <w:t>Defaults Upon Senior Securities</w:t>
              </w:r>
            </w:hyperlink>
          </w:p>
        </w:tc>
        <w:tc>
          <w:tcPr>
            <w:tcW w:w="5480" w:type="dxa"/>
            <w:vAlign w:val="bottom"/>
            <w:gridSpan w:val="5"/>
          </w:tcPr>
          <w:p>
            <w:pPr>
              <w:spacing w:after="0"/>
              <w:rPr>
                <w:sz w:val="24"/>
                <w:szCs w:val="24"/>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318"/>
        </w:trPr>
        <w:tc>
          <w:tcPr>
            <w:tcW w:w="1920" w:type="dxa"/>
            <w:vAlign w:val="bottom"/>
            <w:gridSpan w:val="3"/>
          </w:tcPr>
          <w:p>
            <w:pPr>
              <w:ind w:left="360"/>
              <w:spacing w:after="0"/>
              <w:rPr>
                <w:sz w:val="20"/>
                <w:szCs w:val="20"/>
                <w:color w:val="auto"/>
              </w:rPr>
            </w:pPr>
            <w:r>
              <w:rPr>
                <w:rFonts w:ascii="Arial" w:cs="Arial" w:eastAsia="Arial" w:hAnsi="Arial"/>
                <w:sz w:val="18"/>
                <w:szCs w:val="18"/>
                <w:color w:val="auto"/>
              </w:rPr>
              <w:t>Item 4.</w:t>
            </w:r>
          </w:p>
        </w:tc>
        <w:tc>
          <w:tcPr>
            <w:tcW w:w="7800" w:type="dxa"/>
            <w:vAlign w:val="bottom"/>
            <w:gridSpan w:val="12"/>
          </w:tcPr>
          <w:p>
            <w:pPr>
              <w:spacing w:after="0"/>
              <w:rPr>
                <w:rFonts w:ascii="Arial" w:cs="Arial" w:eastAsia="Arial" w:hAnsi="Arial"/>
                <w:sz w:val="18"/>
                <w:szCs w:val="18"/>
                <w:color w:val="0000EE"/>
              </w:rPr>
            </w:pPr>
            <w:hyperlink w:anchor="page28">
              <w:r>
                <w:rPr>
                  <w:rFonts w:ascii="Arial" w:cs="Arial" w:eastAsia="Arial" w:hAnsi="Arial"/>
                  <w:sz w:val="18"/>
                  <w:szCs w:val="18"/>
                  <w:color w:val="0000EE"/>
                </w:rPr>
                <w:t>Mine Safety Disclosures</w:t>
              </w:r>
            </w:hyperlink>
          </w:p>
        </w:tc>
        <w:tc>
          <w:tcPr>
            <w:tcW w:w="152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318"/>
        </w:trPr>
        <w:tc>
          <w:tcPr>
            <w:tcW w:w="1920" w:type="dxa"/>
            <w:vAlign w:val="bottom"/>
            <w:gridSpan w:val="3"/>
          </w:tcPr>
          <w:p>
            <w:pPr>
              <w:ind w:left="360"/>
              <w:spacing w:after="0"/>
              <w:rPr>
                <w:sz w:val="20"/>
                <w:szCs w:val="20"/>
                <w:color w:val="auto"/>
              </w:rPr>
            </w:pPr>
            <w:r>
              <w:rPr>
                <w:rFonts w:ascii="Arial" w:cs="Arial" w:eastAsia="Arial" w:hAnsi="Arial"/>
                <w:sz w:val="18"/>
                <w:szCs w:val="18"/>
                <w:color w:val="auto"/>
              </w:rPr>
              <w:t>Item 5.</w:t>
            </w:r>
          </w:p>
        </w:tc>
        <w:tc>
          <w:tcPr>
            <w:tcW w:w="1760" w:type="dxa"/>
            <w:vAlign w:val="bottom"/>
            <w:tcBorders>
              <w:top w:val="single" w:sz="8" w:color="0000EE"/>
            </w:tcBorders>
            <w:gridSpan w:val="6"/>
          </w:tcPr>
          <w:p>
            <w:pPr>
              <w:spacing w:after="0"/>
              <w:rPr>
                <w:rFonts w:ascii="Arial" w:cs="Arial" w:eastAsia="Arial" w:hAnsi="Arial"/>
                <w:sz w:val="18"/>
                <w:szCs w:val="18"/>
                <w:color w:val="0000EE"/>
              </w:rPr>
            </w:pPr>
            <w:hyperlink w:anchor="page28">
              <w:r>
                <w:rPr>
                  <w:rFonts w:ascii="Arial" w:cs="Arial" w:eastAsia="Arial" w:hAnsi="Arial"/>
                  <w:sz w:val="18"/>
                  <w:szCs w:val="18"/>
                  <w:color w:val="0000EE"/>
                </w:rPr>
                <w:t>Other Information</w:t>
              </w:r>
            </w:hyperlink>
          </w:p>
        </w:tc>
        <w:tc>
          <w:tcPr>
            <w:tcW w:w="6040" w:type="dxa"/>
            <w:vAlign w:val="bottom"/>
            <w:gridSpan w:val="6"/>
          </w:tcPr>
          <w:p>
            <w:pPr>
              <w:spacing w:after="0"/>
              <w:rPr>
                <w:sz w:val="24"/>
                <w:szCs w:val="24"/>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318"/>
        </w:trPr>
        <w:tc>
          <w:tcPr>
            <w:tcW w:w="1920" w:type="dxa"/>
            <w:vAlign w:val="bottom"/>
            <w:gridSpan w:val="3"/>
          </w:tcPr>
          <w:p>
            <w:pPr>
              <w:ind w:left="360"/>
              <w:spacing w:after="0"/>
              <w:rPr>
                <w:sz w:val="20"/>
                <w:szCs w:val="20"/>
                <w:color w:val="auto"/>
              </w:rPr>
            </w:pPr>
            <w:r>
              <w:rPr>
                <w:rFonts w:ascii="Arial" w:cs="Arial" w:eastAsia="Arial" w:hAnsi="Arial"/>
                <w:sz w:val="18"/>
                <w:szCs w:val="18"/>
                <w:color w:val="auto"/>
              </w:rPr>
              <w:t>Item 6.</w:t>
            </w:r>
          </w:p>
        </w:tc>
        <w:tc>
          <w:tcPr>
            <w:tcW w:w="1300" w:type="dxa"/>
            <w:vAlign w:val="bottom"/>
            <w:tcBorders>
              <w:top w:val="single" w:sz="8" w:color="0000EE"/>
            </w:tcBorders>
            <w:gridSpan w:val="4"/>
          </w:tcPr>
          <w:p>
            <w:pPr>
              <w:spacing w:after="0"/>
              <w:rPr>
                <w:rFonts w:ascii="Arial" w:cs="Arial" w:eastAsia="Arial" w:hAnsi="Arial"/>
                <w:sz w:val="18"/>
                <w:szCs w:val="18"/>
                <w:color w:val="0000EE"/>
              </w:rPr>
            </w:pPr>
            <w:hyperlink w:anchor="page28">
              <w:r>
                <w:rPr>
                  <w:rFonts w:ascii="Arial" w:cs="Arial" w:eastAsia="Arial" w:hAnsi="Arial"/>
                  <w:sz w:val="18"/>
                  <w:szCs w:val="18"/>
                  <w:color w:val="0000EE"/>
                </w:rPr>
                <w:t>Exhibits</w:t>
              </w:r>
            </w:hyperlink>
          </w:p>
        </w:tc>
        <w:tc>
          <w:tcPr>
            <w:tcW w:w="6500" w:type="dxa"/>
            <w:vAlign w:val="bottom"/>
            <w:gridSpan w:val="8"/>
          </w:tcPr>
          <w:p>
            <w:pPr>
              <w:spacing w:after="0"/>
              <w:rPr>
                <w:sz w:val="24"/>
                <w:szCs w:val="24"/>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317"/>
        </w:trPr>
        <w:tc>
          <w:tcPr>
            <w:tcW w:w="1920" w:type="dxa"/>
            <w:vAlign w:val="bottom"/>
            <w:gridSpan w:val="3"/>
          </w:tcPr>
          <w:p>
            <w:pPr>
              <w:ind w:left="360"/>
              <w:spacing w:after="0"/>
              <w:rPr>
                <w:rFonts w:ascii="Arial" w:cs="Arial" w:eastAsia="Arial" w:hAnsi="Arial"/>
                <w:sz w:val="18"/>
                <w:szCs w:val="18"/>
                <w:color w:val="0000EE"/>
              </w:rPr>
            </w:pPr>
            <w:hyperlink w:anchor="page30">
              <w:r>
                <w:rPr>
                  <w:rFonts w:ascii="Arial" w:cs="Arial" w:eastAsia="Arial" w:hAnsi="Arial"/>
                  <w:sz w:val="18"/>
                  <w:szCs w:val="18"/>
                  <w:color w:val="0000EE"/>
                </w:rPr>
                <w:t>Signatures</w:t>
              </w:r>
            </w:hyperlink>
          </w:p>
        </w:tc>
        <w:tc>
          <w:tcPr>
            <w:tcW w:w="600" w:type="dxa"/>
            <w:vAlign w:val="bottom"/>
            <w:tcBorders>
              <w:top w:val="single" w:sz="8" w:color="0000EE"/>
            </w:tcBorders>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784"/>
        </w:trPr>
        <w:tc>
          <w:tcPr>
            <w:tcW w:w="360" w:type="dxa"/>
            <w:vAlign w:val="bottom"/>
            <w:tcBorders>
              <w:bottom w:val="single" w:sz="8" w:color="9A9A9A"/>
            </w:tcBorders>
          </w:tcPr>
          <w:p>
            <w:pPr>
              <w:spacing w:after="0"/>
              <w:rPr>
                <w:sz w:val="24"/>
                <w:szCs w:val="24"/>
                <w:color w:val="auto"/>
              </w:rPr>
            </w:pPr>
          </w:p>
        </w:tc>
        <w:tc>
          <w:tcPr>
            <w:tcW w:w="760" w:type="dxa"/>
            <w:vAlign w:val="bottom"/>
            <w:tcBorders>
              <w:top w:val="single" w:sz="8" w:color="0000EE"/>
              <w:bottom w:val="single" w:sz="8" w:color="9A9A9A"/>
            </w:tcBorders>
          </w:tcPr>
          <w:p>
            <w:pPr>
              <w:spacing w:after="0"/>
              <w:rPr>
                <w:sz w:val="24"/>
                <w:szCs w:val="24"/>
                <w:color w:val="auto"/>
              </w:rPr>
            </w:pPr>
          </w:p>
        </w:tc>
        <w:tc>
          <w:tcPr>
            <w:tcW w:w="800" w:type="dxa"/>
            <w:vAlign w:val="bottom"/>
            <w:tcBorders>
              <w:bottom w:val="single" w:sz="8" w:color="9A9A9A"/>
            </w:tcBorders>
          </w:tcPr>
          <w:p>
            <w:pPr>
              <w:spacing w:after="0"/>
              <w:rPr>
                <w:sz w:val="24"/>
                <w:szCs w:val="24"/>
                <w:color w:val="auto"/>
              </w:rPr>
            </w:pPr>
          </w:p>
        </w:tc>
        <w:tc>
          <w:tcPr>
            <w:tcW w:w="60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300" w:type="dxa"/>
            <w:vAlign w:val="bottom"/>
            <w:tcBorders>
              <w:bottom w:val="single" w:sz="8" w:color="9A9A9A"/>
            </w:tcBorders>
          </w:tcPr>
          <w:p>
            <w:pPr>
              <w:spacing w:after="0"/>
              <w:rPr>
                <w:sz w:val="24"/>
                <w:szCs w:val="24"/>
                <w:color w:val="auto"/>
              </w:rPr>
            </w:pPr>
          </w:p>
        </w:tc>
        <w:tc>
          <w:tcPr>
            <w:tcW w:w="34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440" w:type="dxa"/>
            <w:vAlign w:val="bottom"/>
            <w:tcBorders>
              <w:bottom w:val="single" w:sz="8" w:color="9A9A9A"/>
            </w:tcBorders>
          </w:tcPr>
          <w:p>
            <w:pPr>
              <w:spacing w:after="0"/>
              <w:rPr>
                <w:sz w:val="24"/>
                <w:szCs w:val="24"/>
                <w:color w:val="auto"/>
              </w:rPr>
            </w:pPr>
          </w:p>
        </w:tc>
        <w:tc>
          <w:tcPr>
            <w:tcW w:w="56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194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2020" w:type="dxa"/>
            <w:vAlign w:val="bottom"/>
            <w:tcBorders>
              <w:bottom w:val="single" w:sz="8" w:color="9A9A9A"/>
            </w:tcBorders>
          </w:tcPr>
          <w:p>
            <w:pPr>
              <w:spacing w:after="0"/>
              <w:rPr>
                <w:sz w:val="24"/>
                <w:szCs w:val="24"/>
                <w:color w:val="auto"/>
              </w:rPr>
            </w:pPr>
          </w:p>
        </w:tc>
        <w:tc>
          <w:tcPr>
            <w:tcW w:w="1360" w:type="dxa"/>
            <w:vAlign w:val="bottom"/>
            <w:tcBorders>
              <w:bottom w:val="single" w:sz="8" w:color="9A9A9A"/>
            </w:tcBorders>
          </w:tcPr>
          <w:p>
            <w:pPr>
              <w:spacing w:after="0"/>
              <w:rPr>
                <w:sz w:val="24"/>
                <w:szCs w:val="24"/>
                <w:color w:val="auto"/>
              </w:rPr>
            </w:pPr>
          </w:p>
        </w:tc>
        <w:tc>
          <w:tcPr>
            <w:tcW w:w="15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4"/>
        </w:trPr>
        <w:tc>
          <w:tcPr>
            <w:tcW w:w="7940" w:type="dxa"/>
            <w:vAlign w:val="bottom"/>
            <w:gridSpan w:val="2"/>
          </w:tcPr>
          <w:p>
            <w:pPr>
              <w:spacing w:after="0"/>
              <w:rPr>
                <w:sz w:val="20"/>
                <w:szCs w:val="20"/>
                <w:color w:val="auto"/>
              </w:rPr>
            </w:pPr>
            <w:r>
              <w:rPr>
                <w:rFonts w:ascii="Arial" w:cs="Arial" w:eastAsia="Arial" w:hAnsi="Arial"/>
                <w:sz w:val="18"/>
                <w:szCs w:val="18"/>
                <w:b w:val="1"/>
                <w:bCs w:val="1"/>
                <w:color w:val="auto"/>
              </w:rPr>
              <w:t>PART I. FINANCIAL INFORMATION</w:t>
            </w:r>
          </w:p>
        </w:tc>
        <w:tc>
          <w:tcPr>
            <w:tcW w:w="2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r>
      <w:tr>
        <w:trPr>
          <w:trHeight w:val="338"/>
        </w:trPr>
        <w:tc>
          <w:tcPr>
            <w:tcW w:w="960" w:type="dxa"/>
            <w:vAlign w:val="bottom"/>
          </w:tcPr>
          <w:p>
            <w:pPr>
              <w:spacing w:after="0"/>
              <w:rPr>
                <w:sz w:val="20"/>
                <w:szCs w:val="20"/>
                <w:color w:val="auto"/>
              </w:rPr>
            </w:pPr>
            <w:r>
              <w:rPr>
                <w:rFonts w:ascii="Arial" w:cs="Arial" w:eastAsia="Arial" w:hAnsi="Arial"/>
                <w:sz w:val="18"/>
                <w:szCs w:val="18"/>
                <w:b w:val="1"/>
                <w:bCs w:val="1"/>
                <w:color w:val="auto"/>
              </w:rPr>
              <w:t>Item 1.</w:t>
            </w:r>
          </w:p>
        </w:tc>
        <w:tc>
          <w:tcPr>
            <w:tcW w:w="6980" w:type="dxa"/>
            <w:vAlign w:val="bottom"/>
          </w:tcPr>
          <w:p>
            <w:pPr>
              <w:ind w:left="60"/>
              <w:spacing w:after="0"/>
              <w:rPr>
                <w:sz w:val="20"/>
                <w:szCs w:val="20"/>
                <w:color w:val="auto"/>
              </w:rPr>
            </w:pPr>
            <w:r>
              <w:rPr>
                <w:rFonts w:ascii="Arial" w:cs="Arial" w:eastAsia="Arial" w:hAnsi="Arial"/>
                <w:sz w:val="18"/>
                <w:szCs w:val="18"/>
                <w:b w:val="1"/>
                <w:bCs w:val="1"/>
                <w:color w:val="auto"/>
              </w:rPr>
              <w:t>Unaudited Condensed Financial Statements</w:t>
            </w:r>
          </w:p>
        </w:tc>
        <w:tc>
          <w:tcPr>
            <w:tcW w:w="2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414"/>
        </w:trPr>
        <w:tc>
          <w:tcPr>
            <w:tcW w:w="960" w:type="dxa"/>
            <w:vAlign w:val="bottom"/>
          </w:tcPr>
          <w:p>
            <w:pPr>
              <w:spacing w:after="0"/>
              <w:rPr>
                <w:sz w:val="24"/>
                <w:szCs w:val="24"/>
                <w:color w:val="auto"/>
              </w:rPr>
            </w:pPr>
          </w:p>
        </w:tc>
        <w:tc>
          <w:tcPr>
            <w:tcW w:w="6980" w:type="dxa"/>
            <w:vAlign w:val="bottom"/>
          </w:tcPr>
          <w:p>
            <w:pPr>
              <w:jc w:val="center"/>
              <w:ind w:left="2250"/>
              <w:spacing w:after="0"/>
              <w:rPr>
                <w:sz w:val="20"/>
                <w:szCs w:val="20"/>
                <w:color w:val="auto"/>
              </w:rPr>
            </w:pPr>
            <w:r>
              <w:rPr>
                <w:rFonts w:ascii="Arial" w:cs="Arial" w:eastAsia="Arial" w:hAnsi="Arial"/>
                <w:sz w:val="18"/>
                <w:szCs w:val="18"/>
                <w:b w:val="1"/>
                <w:bCs w:val="1"/>
                <w:color w:val="auto"/>
              </w:rPr>
              <w:t>VERRICA PHARMACEUTICALS INC.</w:t>
            </w:r>
          </w:p>
        </w:tc>
        <w:tc>
          <w:tcPr>
            <w:tcW w:w="2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20"/>
        </w:trPr>
        <w:tc>
          <w:tcPr>
            <w:tcW w:w="960" w:type="dxa"/>
            <w:vAlign w:val="bottom"/>
          </w:tcPr>
          <w:p>
            <w:pPr>
              <w:spacing w:after="0"/>
              <w:rPr>
                <w:sz w:val="19"/>
                <w:szCs w:val="19"/>
                <w:color w:val="auto"/>
              </w:rPr>
            </w:pPr>
          </w:p>
        </w:tc>
        <w:tc>
          <w:tcPr>
            <w:tcW w:w="6980" w:type="dxa"/>
            <w:vAlign w:val="bottom"/>
          </w:tcPr>
          <w:p>
            <w:pPr>
              <w:jc w:val="center"/>
              <w:ind w:left="2250"/>
              <w:spacing w:after="0"/>
              <w:rPr>
                <w:sz w:val="20"/>
                <w:szCs w:val="20"/>
                <w:color w:val="auto"/>
              </w:rPr>
            </w:pPr>
            <w:r>
              <w:rPr>
                <w:rFonts w:ascii="Arial" w:cs="Arial" w:eastAsia="Arial" w:hAnsi="Arial"/>
                <w:sz w:val="18"/>
                <w:szCs w:val="18"/>
                <w:b w:val="1"/>
                <w:bCs w:val="1"/>
                <w:color w:val="auto"/>
                <w:w w:val="98"/>
              </w:rPr>
              <w:t>CONDENSED BALANCE SHEETS</w:t>
            </w:r>
          </w:p>
        </w:tc>
        <w:tc>
          <w:tcPr>
            <w:tcW w:w="2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16"/>
        </w:trPr>
        <w:tc>
          <w:tcPr>
            <w:tcW w:w="960" w:type="dxa"/>
            <w:vAlign w:val="bottom"/>
          </w:tcPr>
          <w:p>
            <w:pPr>
              <w:spacing w:after="0"/>
              <w:rPr>
                <w:sz w:val="18"/>
                <w:szCs w:val="18"/>
                <w:color w:val="auto"/>
              </w:rPr>
            </w:pPr>
          </w:p>
        </w:tc>
        <w:tc>
          <w:tcPr>
            <w:tcW w:w="6980" w:type="dxa"/>
            <w:vAlign w:val="bottom"/>
          </w:tcPr>
          <w:p>
            <w:pPr>
              <w:jc w:val="center"/>
              <w:ind w:left="2270"/>
              <w:spacing w:after="0"/>
              <w:rPr>
                <w:sz w:val="20"/>
                <w:szCs w:val="20"/>
                <w:color w:val="auto"/>
              </w:rPr>
            </w:pPr>
            <w:r>
              <w:rPr>
                <w:rFonts w:ascii="Arial" w:cs="Arial" w:eastAsia="Arial" w:hAnsi="Arial"/>
                <w:sz w:val="18"/>
                <w:szCs w:val="18"/>
                <w:color w:val="auto"/>
                <w:w w:val="87"/>
              </w:rPr>
              <w:t>(in thousands, except share and per share amounts)</w:t>
            </w:r>
          </w:p>
        </w:tc>
        <w:tc>
          <w:tcPr>
            <w:tcW w:w="2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30"/>
        </w:trPr>
        <w:tc>
          <w:tcPr>
            <w:tcW w:w="960" w:type="dxa"/>
            <w:vAlign w:val="bottom"/>
          </w:tcPr>
          <w:p>
            <w:pPr>
              <w:spacing w:after="0"/>
              <w:rPr>
                <w:sz w:val="20"/>
                <w:szCs w:val="20"/>
                <w:color w:val="auto"/>
              </w:rPr>
            </w:pPr>
          </w:p>
        </w:tc>
        <w:tc>
          <w:tcPr>
            <w:tcW w:w="6980" w:type="dxa"/>
            <w:vAlign w:val="bottom"/>
          </w:tcPr>
          <w:p>
            <w:pPr>
              <w:jc w:val="center"/>
              <w:ind w:left="2250"/>
              <w:spacing w:after="0"/>
              <w:rPr>
                <w:sz w:val="20"/>
                <w:szCs w:val="20"/>
                <w:color w:val="auto"/>
              </w:rPr>
            </w:pPr>
            <w:r>
              <w:rPr>
                <w:rFonts w:ascii="Arial" w:cs="Arial" w:eastAsia="Arial" w:hAnsi="Arial"/>
                <w:sz w:val="18"/>
                <w:szCs w:val="18"/>
                <w:color w:val="auto"/>
                <w:w w:val="93"/>
              </w:rPr>
              <w:t>(Unaudited)</w:t>
            </w:r>
          </w:p>
        </w:tc>
        <w:tc>
          <w:tcPr>
            <w:tcW w:w="2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r>
      <w:tr>
        <w:trPr>
          <w:trHeight w:val="369"/>
        </w:trPr>
        <w:tc>
          <w:tcPr>
            <w:tcW w:w="960" w:type="dxa"/>
            <w:vAlign w:val="bottom"/>
          </w:tcPr>
          <w:p>
            <w:pPr>
              <w:spacing w:after="0"/>
              <w:rPr>
                <w:sz w:val="24"/>
                <w:szCs w:val="24"/>
                <w:color w:val="auto"/>
              </w:rPr>
            </w:pPr>
          </w:p>
        </w:tc>
        <w:tc>
          <w:tcPr>
            <w:tcW w:w="69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40" w:type="dxa"/>
            <w:vAlign w:val="bottom"/>
            <w:gridSpan w:val="2"/>
          </w:tcPr>
          <w:p>
            <w:pPr>
              <w:jc w:val="right"/>
              <w:ind w:right="740"/>
              <w:spacing w:after="0"/>
              <w:rPr>
                <w:sz w:val="20"/>
                <w:szCs w:val="20"/>
                <w:color w:val="auto"/>
              </w:rPr>
            </w:pPr>
            <w:r>
              <w:rPr>
                <w:rFonts w:ascii="Arial" w:cs="Arial" w:eastAsia="Arial" w:hAnsi="Arial"/>
                <w:sz w:val="14"/>
                <w:szCs w:val="14"/>
                <w:b w:val="1"/>
                <w:bCs w:val="1"/>
                <w:color w:val="auto"/>
              </w:rPr>
              <w:t>June 30,</w:t>
            </w: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8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960" w:type="dxa"/>
            <w:vAlign w:val="bottom"/>
            <w:tcBorders>
              <w:bottom w:val="single" w:sz="8" w:color="CFF0FC"/>
            </w:tcBorders>
          </w:tcPr>
          <w:p>
            <w:pPr>
              <w:spacing w:after="0"/>
              <w:rPr>
                <w:sz w:val="14"/>
                <w:szCs w:val="14"/>
                <w:color w:val="auto"/>
              </w:rPr>
            </w:pPr>
          </w:p>
        </w:tc>
        <w:tc>
          <w:tcPr>
            <w:tcW w:w="6980" w:type="dxa"/>
            <w:vAlign w:val="bottom"/>
            <w:tcBorders>
              <w:bottom w:val="single" w:sz="8" w:color="CFF0FC"/>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2021</w:t>
            </w:r>
          </w:p>
        </w:tc>
        <w:tc>
          <w:tcPr>
            <w:tcW w:w="260" w:type="dxa"/>
            <w:vAlign w:val="bottom"/>
            <w:tcBorders>
              <w:bottom w:val="single" w:sz="8" w:color="CFF0FC"/>
            </w:tcBorders>
          </w:tcPr>
          <w:p>
            <w:pPr>
              <w:spacing w:after="0"/>
              <w:rPr>
                <w:sz w:val="14"/>
                <w:szCs w:val="14"/>
                <w:color w:val="auto"/>
              </w:rPr>
            </w:pPr>
          </w:p>
        </w:tc>
        <w:tc>
          <w:tcPr>
            <w:tcW w:w="2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FF0FC"/>
            </w:tcBorders>
          </w:tcPr>
          <w:p>
            <w:pPr>
              <w:spacing w:after="0"/>
              <w:rPr>
                <w:sz w:val="14"/>
                <w:szCs w:val="14"/>
                <w:color w:val="auto"/>
              </w:rPr>
            </w:pPr>
          </w:p>
        </w:tc>
      </w:tr>
      <w:tr>
        <w:trPr>
          <w:trHeight w:val="223"/>
        </w:trPr>
        <w:tc>
          <w:tcPr>
            <w:tcW w:w="9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ASSETS</w:t>
            </w:r>
          </w:p>
        </w:tc>
        <w:tc>
          <w:tcPr>
            <w:tcW w:w="69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7940" w:type="dxa"/>
            <w:vAlign w:val="bottom"/>
            <w:gridSpan w:val="2"/>
          </w:tcPr>
          <w:p>
            <w:pPr>
              <w:spacing w:after="0"/>
              <w:rPr>
                <w:sz w:val="20"/>
                <w:szCs w:val="20"/>
                <w:color w:val="auto"/>
              </w:rPr>
            </w:pPr>
            <w:r>
              <w:rPr>
                <w:rFonts w:ascii="Arial" w:cs="Arial" w:eastAsia="Arial" w:hAnsi="Arial"/>
                <w:sz w:val="18"/>
                <w:szCs w:val="18"/>
                <w:color w:val="auto"/>
              </w:rPr>
              <w:t>Current assets:</w:t>
            </w:r>
          </w:p>
        </w:tc>
        <w:tc>
          <w:tcPr>
            <w:tcW w:w="2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29"/>
        </w:trPr>
        <w:tc>
          <w:tcPr>
            <w:tcW w:w="79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Cash and cash equivalents</w:t>
            </w:r>
          </w:p>
        </w:tc>
        <w:tc>
          <w:tcPr>
            <w:tcW w:w="280" w:type="dxa"/>
            <w:vAlign w:val="bottom"/>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24,706</w:t>
            </w:r>
          </w:p>
        </w:tc>
        <w:tc>
          <w:tcPr>
            <w:tcW w:w="260" w:type="dxa"/>
            <w:vAlign w:val="bottom"/>
            <w:shd w:val="clear" w:color="auto" w:fill="CFF0FC"/>
          </w:tcPr>
          <w:p>
            <w:pPr>
              <w:spacing w:after="0"/>
              <w:rPr>
                <w:sz w:val="19"/>
                <w:szCs w:val="19"/>
                <w:color w:val="auto"/>
              </w:rPr>
            </w:pPr>
          </w:p>
        </w:tc>
        <w:tc>
          <w:tcPr>
            <w:tcW w:w="200" w:type="dxa"/>
            <w:vAlign w:val="bottom"/>
            <w:gridSpan w:val="2"/>
            <w:shd w:val="clear" w:color="auto" w:fill="CFF0FC"/>
          </w:tcPr>
          <w:p>
            <w:pPr>
              <w:jc w:val="right"/>
              <w:ind w:right="27"/>
              <w:spacing w:after="0"/>
              <w:rPr>
                <w:sz w:val="20"/>
                <w:szCs w:val="20"/>
                <w:color w:val="auto"/>
              </w:rPr>
            </w:pPr>
            <w:r>
              <w:rPr>
                <w:rFonts w:ascii="Arial" w:cs="Arial" w:eastAsia="Arial" w:hAnsi="Arial"/>
                <w:sz w:val="18"/>
                <w:szCs w:val="18"/>
                <w:color w:val="auto"/>
                <w:w w:val="79"/>
              </w:rPr>
              <w:t>$</w:t>
            </w: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10,686</w:t>
            </w:r>
          </w:p>
        </w:tc>
        <w:tc>
          <w:tcPr>
            <w:tcW w:w="120" w:type="dxa"/>
            <w:vAlign w:val="bottom"/>
            <w:shd w:val="clear" w:color="auto" w:fill="CFF0FC"/>
          </w:tcPr>
          <w:p>
            <w:pPr>
              <w:spacing w:after="0"/>
              <w:rPr>
                <w:sz w:val="19"/>
                <w:szCs w:val="19"/>
                <w:color w:val="auto"/>
              </w:rPr>
            </w:pPr>
          </w:p>
        </w:tc>
      </w:tr>
      <w:tr>
        <w:trPr>
          <w:trHeight w:val="229"/>
        </w:trPr>
        <w:tc>
          <w:tcPr>
            <w:tcW w:w="7940" w:type="dxa"/>
            <w:vAlign w:val="bottom"/>
            <w:gridSpan w:val="2"/>
          </w:tcPr>
          <w:p>
            <w:pPr>
              <w:ind w:left="260"/>
              <w:spacing w:after="0"/>
              <w:rPr>
                <w:sz w:val="20"/>
                <w:szCs w:val="20"/>
                <w:color w:val="auto"/>
              </w:rPr>
            </w:pPr>
            <w:r>
              <w:rPr>
                <w:rFonts w:ascii="Arial" w:cs="Arial" w:eastAsia="Arial" w:hAnsi="Arial"/>
                <w:sz w:val="18"/>
                <w:szCs w:val="18"/>
                <w:color w:val="auto"/>
              </w:rPr>
              <w:t>Marketable securities</w:t>
            </w: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65,423</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54,784</w:t>
            </w:r>
          </w:p>
        </w:tc>
        <w:tc>
          <w:tcPr>
            <w:tcW w:w="120" w:type="dxa"/>
            <w:vAlign w:val="bottom"/>
          </w:tcPr>
          <w:p>
            <w:pPr>
              <w:spacing w:after="0"/>
              <w:rPr>
                <w:sz w:val="19"/>
                <w:szCs w:val="19"/>
                <w:color w:val="auto"/>
              </w:rPr>
            </w:pPr>
          </w:p>
        </w:tc>
      </w:tr>
      <w:tr>
        <w:trPr>
          <w:trHeight w:val="230"/>
        </w:trPr>
        <w:tc>
          <w:tcPr>
            <w:tcW w:w="79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Prepaid expenses and other assets</w:t>
            </w:r>
          </w:p>
        </w:tc>
        <w:tc>
          <w:tcPr>
            <w:tcW w:w="280" w:type="dxa"/>
            <w:vAlign w:val="bottom"/>
            <w:tcBorders>
              <w:bottom w:val="single" w:sz="8" w:color="auto"/>
            </w:tcBorders>
            <w:shd w:val="clear" w:color="auto" w:fill="CFF0FC"/>
          </w:tcPr>
          <w:p>
            <w:pPr>
              <w:spacing w:after="0"/>
              <w:rPr>
                <w:sz w:val="19"/>
                <w:szCs w:val="19"/>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3,245</w:t>
            </w: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2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2,180</w:t>
            </w:r>
          </w:p>
        </w:tc>
        <w:tc>
          <w:tcPr>
            <w:tcW w:w="120" w:type="dxa"/>
            <w:vAlign w:val="bottom"/>
            <w:shd w:val="clear" w:color="auto" w:fill="CFF0FC"/>
          </w:tcPr>
          <w:p>
            <w:pPr>
              <w:spacing w:after="0"/>
              <w:rPr>
                <w:sz w:val="19"/>
                <w:szCs w:val="19"/>
                <w:color w:val="auto"/>
              </w:rPr>
            </w:pPr>
          </w:p>
        </w:tc>
      </w:tr>
      <w:tr>
        <w:trPr>
          <w:trHeight w:val="223"/>
        </w:trPr>
        <w:tc>
          <w:tcPr>
            <w:tcW w:w="7940" w:type="dxa"/>
            <w:vAlign w:val="bottom"/>
            <w:gridSpan w:val="2"/>
          </w:tcPr>
          <w:p>
            <w:pPr>
              <w:ind w:left="500"/>
              <w:spacing w:after="0"/>
              <w:rPr>
                <w:sz w:val="20"/>
                <w:szCs w:val="20"/>
                <w:color w:val="auto"/>
              </w:rPr>
            </w:pPr>
            <w:r>
              <w:rPr>
                <w:rFonts w:ascii="Arial" w:cs="Arial" w:eastAsia="Arial" w:hAnsi="Arial"/>
                <w:sz w:val="18"/>
                <w:szCs w:val="18"/>
                <w:color w:val="auto"/>
              </w:rPr>
              <w:t>Total current assets</w:t>
            </w: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93,374</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67,650</w:t>
            </w:r>
          </w:p>
        </w:tc>
        <w:tc>
          <w:tcPr>
            <w:tcW w:w="120" w:type="dxa"/>
            <w:vAlign w:val="bottom"/>
          </w:tcPr>
          <w:p>
            <w:pPr>
              <w:spacing w:after="0"/>
              <w:rPr>
                <w:sz w:val="19"/>
                <w:szCs w:val="19"/>
                <w:color w:val="auto"/>
              </w:rPr>
            </w:pPr>
          </w:p>
        </w:tc>
      </w:tr>
      <w:tr>
        <w:trPr>
          <w:trHeight w:val="230"/>
        </w:trPr>
        <w:tc>
          <w:tcPr>
            <w:tcW w:w="794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Property and equipment, net</w:t>
            </w:r>
          </w:p>
        </w:tc>
        <w:tc>
          <w:tcPr>
            <w:tcW w:w="28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3,648</w:t>
            </w: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3,102</w:t>
            </w:r>
          </w:p>
        </w:tc>
        <w:tc>
          <w:tcPr>
            <w:tcW w:w="120" w:type="dxa"/>
            <w:vAlign w:val="bottom"/>
            <w:shd w:val="clear" w:color="auto" w:fill="CFF0FC"/>
          </w:tcPr>
          <w:p>
            <w:pPr>
              <w:spacing w:after="0"/>
              <w:rPr>
                <w:sz w:val="19"/>
                <w:szCs w:val="19"/>
                <w:color w:val="auto"/>
              </w:rPr>
            </w:pPr>
          </w:p>
        </w:tc>
      </w:tr>
      <w:tr>
        <w:trPr>
          <w:trHeight w:val="229"/>
        </w:trPr>
        <w:tc>
          <w:tcPr>
            <w:tcW w:w="7940" w:type="dxa"/>
            <w:vAlign w:val="bottom"/>
            <w:gridSpan w:val="2"/>
          </w:tcPr>
          <w:p>
            <w:pPr>
              <w:spacing w:after="0"/>
              <w:rPr>
                <w:sz w:val="20"/>
                <w:szCs w:val="20"/>
                <w:color w:val="auto"/>
              </w:rPr>
            </w:pPr>
            <w:r>
              <w:rPr>
                <w:rFonts w:ascii="Arial" w:cs="Arial" w:eastAsia="Arial" w:hAnsi="Arial"/>
                <w:sz w:val="18"/>
                <w:szCs w:val="18"/>
                <w:color w:val="auto"/>
              </w:rPr>
              <w:t>Operating lease right-of-use asset</w:t>
            </w: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1,723</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1,836</w:t>
            </w:r>
          </w:p>
        </w:tc>
        <w:tc>
          <w:tcPr>
            <w:tcW w:w="120" w:type="dxa"/>
            <w:vAlign w:val="bottom"/>
          </w:tcPr>
          <w:p>
            <w:pPr>
              <w:spacing w:after="0"/>
              <w:rPr>
                <w:sz w:val="19"/>
                <w:szCs w:val="19"/>
                <w:color w:val="auto"/>
              </w:rPr>
            </w:pPr>
          </w:p>
        </w:tc>
      </w:tr>
      <w:tr>
        <w:trPr>
          <w:trHeight w:val="229"/>
        </w:trPr>
        <w:tc>
          <w:tcPr>
            <w:tcW w:w="794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Other non-current assets</w:t>
            </w:r>
          </w:p>
        </w:tc>
        <w:tc>
          <w:tcPr>
            <w:tcW w:w="280" w:type="dxa"/>
            <w:vAlign w:val="bottom"/>
            <w:tcBorders>
              <w:bottom w:val="single" w:sz="8" w:color="auto"/>
            </w:tcBorders>
            <w:shd w:val="clear" w:color="auto" w:fill="CFF0FC"/>
          </w:tcPr>
          <w:p>
            <w:pPr>
              <w:spacing w:after="0"/>
              <w:rPr>
                <w:sz w:val="19"/>
                <w:szCs w:val="19"/>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285</w:t>
            </w: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2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1,566</w:t>
            </w:r>
          </w:p>
        </w:tc>
        <w:tc>
          <w:tcPr>
            <w:tcW w:w="120" w:type="dxa"/>
            <w:vAlign w:val="bottom"/>
            <w:shd w:val="clear" w:color="auto" w:fill="CFF0FC"/>
          </w:tcPr>
          <w:p>
            <w:pPr>
              <w:spacing w:after="0"/>
              <w:rPr>
                <w:sz w:val="19"/>
                <w:szCs w:val="19"/>
                <w:color w:val="auto"/>
              </w:rPr>
            </w:pPr>
          </w:p>
        </w:tc>
      </w:tr>
      <w:tr>
        <w:trPr>
          <w:trHeight w:val="263"/>
        </w:trPr>
        <w:tc>
          <w:tcPr>
            <w:tcW w:w="960" w:type="dxa"/>
            <w:vAlign w:val="bottom"/>
            <w:tcBorders>
              <w:bottom w:val="single" w:sz="8" w:color="CFF0FC"/>
            </w:tcBorders>
          </w:tcPr>
          <w:p>
            <w:pPr>
              <w:spacing w:after="0"/>
              <w:rPr>
                <w:sz w:val="20"/>
                <w:szCs w:val="20"/>
                <w:color w:val="auto"/>
              </w:rPr>
            </w:pPr>
            <w:r>
              <w:rPr>
                <w:rFonts w:ascii="Arial" w:cs="Arial" w:eastAsia="Arial" w:hAnsi="Arial"/>
                <w:sz w:val="18"/>
                <w:szCs w:val="18"/>
                <w:b w:val="1"/>
                <w:bCs w:val="1"/>
                <w:color w:val="auto"/>
                <w:w w:val="90"/>
              </w:rPr>
              <w:t>Total assets</w:t>
            </w:r>
          </w:p>
        </w:tc>
        <w:tc>
          <w:tcPr>
            <w:tcW w:w="6980" w:type="dxa"/>
            <w:vAlign w:val="bottom"/>
            <w:tcBorders>
              <w:bottom w:val="single" w:sz="8" w:color="CFF0FC"/>
            </w:tcBorders>
          </w:tcPr>
          <w:p>
            <w:pPr>
              <w:spacing w:after="0"/>
              <w:rPr>
                <w:sz w:val="22"/>
                <w:szCs w:val="22"/>
                <w:color w:val="auto"/>
              </w:rPr>
            </w:pPr>
          </w:p>
        </w:tc>
        <w:tc>
          <w:tcPr>
            <w:tcW w:w="2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99,030</w:t>
            </w:r>
          </w:p>
        </w:tc>
        <w:tc>
          <w:tcPr>
            <w:tcW w:w="260" w:type="dxa"/>
            <w:vAlign w:val="bottom"/>
            <w:tcBorders>
              <w:bottom w:val="single" w:sz="8" w:color="CFF0FC"/>
            </w:tcBorders>
          </w:tcPr>
          <w:p>
            <w:pPr>
              <w:spacing w:after="0"/>
              <w:rPr>
                <w:sz w:val="22"/>
                <w:szCs w:val="22"/>
                <w:color w:val="auto"/>
              </w:rPr>
            </w:pPr>
          </w:p>
        </w:tc>
        <w:tc>
          <w:tcPr>
            <w:tcW w:w="20" w:type="dxa"/>
            <w:vAlign w:val="bottom"/>
            <w:tcBorders>
              <w:bottom w:val="single" w:sz="8" w:color="CFF0FC"/>
            </w:tcBorders>
          </w:tcPr>
          <w:p>
            <w:pPr>
              <w:spacing w:after="0"/>
              <w:rPr>
                <w:sz w:val="22"/>
                <w:szCs w:val="22"/>
                <w:color w:val="auto"/>
              </w:rPr>
            </w:pPr>
          </w:p>
        </w:tc>
        <w:tc>
          <w:tcPr>
            <w:tcW w:w="180" w:type="dxa"/>
            <w:vAlign w:val="bottom"/>
            <w:tcBorders>
              <w:bottom w:val="single" w:sz="8" w:color="auto"/>
            </w:tcBorders>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74,154</w:t>
            </w:r>
          </w:p>
        </w:tc>
        <w:tc>
          <w:tcPr>
            <w:tcW w:w="120" w:type="dxa"/>
            <w:vAlign w:val="bottom"/>
            <w:tcBorders>
              <w:bottom w:val="single" w:sz="8" w:color="CFF0FC"/>
            </w:tcBorders>
          </w:tcPr>
          <w:p>
            <w:pPr>
              <w:spacing w:after="0"/>
              <w:rPr>
                <w:sz w:val="22"/>
                <w:szCs w:val="22"/>
                <w:color w:val="auto"/>
              </w:rPr>
            </w:pPr>
          </w:p>
        </w:tc>
      </w:tr>
      <w:tr>
        <w:trPr>
          <w:trHeight w:val="210"/>
        </w:trPr>
        <w:tc>
          <w:tcPr>
            <w:tcW w:w="7940" w:type="dxa"/>
            <w:vAlign w:val="bottom"/>
            <w:gridSpan w:val="2"/>
            <w:shd w:val="clear" w:color="auto" w:fill="CFF0FC"/>
          </w:tcPr>
          <w:p>
            <w:pPr>
              <w:spacing w:after="0"/>
              <w:rPr>
                <w:sz w:val="20"/>
                <w:szCs w:val="20"/>
                <w:color w:val="auto"/>
              </w:rPr>
            </w:pPr>
            <w:r>
              <w:rPr>
                <w:rFonts w:ascii="Arial" w:cs="Arial" w:eastAsia="Arial" w:hAnsi="Arial"/>
                <w:sz w:val="18"/>
                <w:szCs w:val="18"/>
                <w:b w:val="1"/>
                <w:bCs w:val="1"/>
                <w:color w:val="auto"/>
              </w:rPr>
              <w:t>LIABILITIES AND STOCKHOLDERS’ EQUITY</w:t>
            </w:r>
          </w:p>
        </w:tc>
        <w:tc>
          <w:tcPr>
            <w:tcW w:w="280" w:type="dxa"/>
            <w:vAlign w:val="bottom"/>
            <w:shd w:val="clear" w:color="auto" w:fill="CFF0FC"/>
          </w:tcPr>
          <w:p>
            <w:pPr>
              <w:spacing w:after="0"/>
              <w:rPr>
                <w:sz w:val="18"/>
                <w:szCs w:val="18"/>
                <w:color w:val="auto"/>
              </w:rPr>
            </w:pPr>
          </w:p>
        </w:tc>
        <w:tc>
          <w:tcPr>
            <w:tcW w:w="11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2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r>
      <w:tr>
        <w:trPr>
          <w:trHeight w:val="229"/>
        </w:trPr>
        <w:tc>
          <w:tcPr>
            <w:tcW w:w="7940" w:type="dxa"/>
            <w:vAlign w:val="bottom"/>
            <w:gridSpan w:val="2"/>
          </w:tcPr>
          <w:p>
            <w:pPr>
              <w:spacing w:after="0"/>
              <w:rPr>
                <w:sz w:val="20"/>
                <w:szCs w:val="20"/>
                <w:color w:val="auto"/>
              </w:rPr>
            </w:pPr>
            <w:r>
              <w:rPr>
                <w:rFonts w:ascii="Arial" w:cs="Arial" w:eastAsia="Arial" w:hAnsi="Arial"/>
                <w:sz w:val="18"/>
                <w:szCs w:val="18"/>
                <w:color w:val="auto"/>
              </w:rPr>
              <w:t>Current liabilities:</w:t>
            </w:r>
          </w:p>
        </w:tc>
        <w:tc>
          <w:tcPr>
            <w:tcW w:w="2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30"/>
        </w:trPr>
        <w:tc>
          <w:tcPr>
            <w:tcW w:w="79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Accounts payable</w:t>
            </w:r>
          </w:p>
        </w:tc>
        <w:tc>
          <w:tcPr>
            <w:tcW w:w="280" w:type="dxa"/>
            <w:vAlign w:val="bottom"/>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783</w:t>
            </w:r>
          </w:p>
        </w:tc>
        <w:tc>
          <w:tcPr>
            <w:tcW w:w="260" w:type="dxa"/>
            <w:vAlign w:val="bottom"/>
            <w:shd w:val="clear" w:color="auto" w:fill="CFF0FC"/>
          </w:tcPr>
          <w:p>
            <w:pPr>
              <w:spacing w:after="0"/>
              <w:rPr>
                <w:sz w:val="19"/>
                <w:szCs w:val="19"/>
                <w:color w:val="auto"/>
              </w:rPr>
            </w:pPr>
          </w:p>
        </w:tc>
        <w:tc>
          <w:tcPr>
            <w:tcW w:w="200" w:type="dxa"/>
            <w:vAlign w:val="bottom"/>
            <w:gridSpan w:val="2"/>
            <w:shd w:val="clear" w:color="auto" w:fill="CFF0FC"/>
          </w:tcPr>
          <w:p>
            <w:pPr>
              <w:jc w:val="right"/>
              <w:ind w:right="27"/>
              <w:spacing w:after="0"/>
              <w:rPr>
                <w:sz w:val="20"/>
                <w:szCs w:val="20"/>
                <w:color w:val="auto"/>
              </w:rPr>
            </w:pPr>
            <w:r>
              <w:rPr>
                <w:rFonts w:ascii="Arial" w:cs="Arial" w:eastAsia="Arial" w:hAnsi="Arial"/>
                <w:sz w:val="18"/>
                <w:szCs w:val="18"/>
                <w:color w:val="auto"/>
                <w:w w:val="79"/>
              </w:rPr>
              <w:t>$</w:t>
            </w: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348</w:t>
            </w:r>
          </w:p>
        </w:tc>
        <w:tc>
          <w:tcPr>
            <w:tcW w:w="120" w:type="dxa"/>
            <w:vAlign w:val="bottom"/>
            <w:shd w:val="clear" w:color="auto" w:fill="CFF0FC"/>
          </w:tcPr>
          <w:p>
            <w:pPr>
              <w:spacing w:after="0"/>
              <w:rPr>
                <w:sz w:val="19"/>
                <w:szCs w:val="19"/>
                <w:color w:val="auto"/>
              </w:rPr>
            </w:pPr>
          </w:p>
        </w:tc>
      </w:tr>
      <w:tr>
        <w:trPr>
          <w:trHeight w:val="229"/>
        </w:trPr>
        <w:tc>
          <w:tcPr>
            <w:tcW w:w="7940" w:type="dxa"/>
            <w:vAlign w:val="bottom"/>
            <w:gridSpan w:val="2"/>
          </w:tcPr>
          <w:p>
            <w:pPr>
              <w:ind w:left="260"/>
              <w:spacing w:after="0"/>
              <w:rPr>
                <w:sz w:val="20"/>
                <w:szCs w:val="20"/>
                <w:color w:val="auto"/>
              </w:rPr>
            </w:pPr>
            <w:r>
              <w:rPr>
                <w:rFonts w:ascii="Arial" w:cs="Arial" w:eastAsia="Arial" w:hAnsi="Arial"/>
                <w:sz w:val="18"/>
                <w:szCs w:val="18"/>
                <w:color w:val="auto"/>
              </w:rPr>
              <w:t>Accrued expenses and other current liabilities</w:t>
            </w: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3,252</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3,114</w:t>
            </w:r>
          </w:p>
        </w:tc>
        <w:tc>
          <w:tcPr>
            <w:tcW w:w="120" w:type="dxa"/>
            <w:vAlign w:val="bottom"/>
          </w:tcPr>
          <w:p>
            <w:pPr>
              <w:spacing w:after="0"/>
              <w:rPr>
                <w:sz w:val="19"/>
                <w:szCs w:val="19"/>
                <w:color w:val="auto"/>
              </w:rPr>
            </w:pPr>
          </w:p>
        </w:tc>
      </w:tr>
      <w:tr>
        <w:trPr>
          <w:trHeight w:val="229"/>
        </w:trPr>
        <w:tc>
          <w:tcPr>
            <w:tcW w:w="79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Operating lease liability</w:t>
            </w:r>
          </w:p>
        </w:tc>
        <w:tc>
          <w:tcPr>
            <w:tcW w:w="28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235</w:t>
            </w: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198</w:t>
            </w:r>
          </w:p>
        </w:tc>
        <w:tc>
          <w:tcPr>
            <w:tcW w:w="120" w:type="dxa"/>
            <w:vAlign w:val="bottom"/>
            <w:shd w:val="clear" w:color="auto" w:fill="CFF0FC"/>
          </w:tcPr>
          <w:p>
            <w:pPr>
              <w:spacing w:after="0"/>
              <w:rPr>
                <w:sz w:val="19"/>
                <w:szCs w:val="19"/>
                <w:color w:val="auto"/>
              </w:rPr>
            </w:pPr>
          </w:p>
        </w:tc>
      </w:tr>
      <w:tr>
        <w:trPr>
          <w:trHeight w:val="230"/>
        </w:trPr>
        <w:tc>
          <w:tcPr>
            <w:tcW w:w="7940" w:type="dxa"/>
            <w:vAlign w:val="bottom"/>
            <w:gridSpan w:val="2"/>
          </w:tcPr>
          <w:p>
            <w:pPr>
              <w:ind w:left="260"/>
              <w:spacing w:after="0"/>
              <w:rPr>
                <w:sz w:val="20"/>
                <w:szCs w:val="20"/>
                <w:color w:val="auto"/>
              </w:rPr>
            </w:pPr>
            <w:r>
              <w:rPr>
                <w:rFonts w:ascii="Arial" w:cs="Arial" w:eastAsia="Arial" w:hAnsi="Arial"/>
                <w:sz w:val="18"/>
                <w:szCs w:val="18"/>
                <w:color w:val="auto"/>
              </w:rPr>
              <w:t>Financing lease liability</w:t>
            </w: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7</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r>
      <w:tr>
        <w:trPr>
          <w:trHeight w:val="229"/>
        </w:trPr>
        <w:tc>
          <w:tcPr>
            <w:tcW w:w="79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Deferred revenue</w:t>
            </w:r>
          </w:p>
        </w:tc>
        <w:tc>
          <w:tcPr>
            <w:tcW w:w="28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500</w:t>
            </w:r>
          </w:p>
        </w:tc>
        <w:tc>
          <w:tcPr>
            <w:tcW w:w="120" w:type="dxa"/>
            <w:vAlign w:val="bottom"/>
            <w:shd w:val="clear" w:color="auto" w:fill="CFF0FC"/>
          </w:tcPr>
          <w:p>
            <w:pPr>
              <w:spacing w:after="0"/>
              <w:rPr>
                <w:sz w:val="19"/>
                <w:szCs w:val="19"/>
                <w:color w:val="auto"/>
              </w:rPr>
            </w:pPr>
          </w:p>
        </w:tc>
      </w:tr>
      <w:tr>
        <w:trPr>
          <w:trHeight w:val="230"/>
        </w:trPr>
        <w:tc>
          <w:tcPr>
            <w:tcW w:w="7940" w:type="dxa"/>
            <w:vAlign w:val="bottom"/>
            <w:tcBorders>
              <w:bottom w:val="single" w:sz="8" w:color="CFF0FC"/>
            </w:tcBorders>
            <w:gridSpan w:val="2"/>
          </w:tcPr>
          <w:p>
            <w:pPr>
              <w:ind w:left="260"/>
              <w:spacing w:after="0"/>
              <w:rPr>
                <w:sz w:val="20"/>
                <w:szCs w:val="20"/>
                <w:color w:val="auto"/>
              </w:rPr>
            </w:pPr>
            <w:r>
              <w:rPr>
                <w:rFonts w:ascii="Arial" w:cs="Arial" w:eastAsia="Arial" w:hAnsi="Arial"/>
                <w:sz w:val="18"/>
                <w:szCs w:val="18"/>
                <w:color w:val="auto"/>
              </w:rPr>
              <w:t>Short term debt</w:t>
            </w:r>
          </w:p>
        </w:tc>
        <w:tc>
          <w:tcPr>
            <w:tcW w:w="28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41,005</w:t>
            </w:r>
          </w:p>
        </w:tc>
        <w:tc>
          <w:tcPr>
            <w:tcW w:w="26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35,315</w:t>
            </w:r>
          </w:p>
        </w:tc>
        <w:tc>
          <w:tcPr>
            <w:tcW w:w="120" w:type="dxa"/>
            <w:vAlign w:val="bottom"/>
            <w:tcBorders>
              <w:bottom w:val="single" w:sz="8" w:color="CFF0FC"/>
            </w:tcBorders>
          </w:tcPr>
          <w:p>
            <w:pPr>
              <w:spacing w:after="0"/>
              <w:rPr>
                <w:sz w:val="19"/>
                <w:szCs w:val="19"/>
                <w:color w:val="auto"/>
              </w:rPr>
            </w:pPr>
          </w:p>
        </w:tc>
      </w:tr>
      <w:tr>
        <w:trPr>
          <w:trHeight w:val="223"/>
        </w:trPr>
        <w:tc>
          <w:tcPr>
            <w:tcW w:w="7940" w:type="dxa"/>
            <w:vAlign w:val="bottom"/>
            <w:gridSpan w:val="2"/>
            <w:shd w:val="clear" w:color="auto" w:fill="CFF0FC"/>
          </w:tcPr>
          <w:p>
            <w:pPr>
              <w:ind w:left="500"/>
              <w:spacing w:after="0"/>
              <w:rPr>
                <w:sz w:val="20"/>
                <w:szCs w:val="20"/>
                <w:color w:val="auto"/>
              </w:rPr>
            </w:pPr>
            <w:r>
              <w:rPr>
                <w:rFonts w:ascii="Arial" w:cs="Arial" w:eastAsia="Arial" w:hAnsi="Arial"/>
                <w:sz w:val="18"/>
                <w:szCs w:val="18"/>
                <w:color w:val="auto"/>
              </w:rPr>
              <w:t>Total current liabilities</w:t>
            </w:r>
          </w:p>
        </w:tc>
        <w:tc>
          <w:tcPr>
            <w:tcW w:w="28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45,282</w:t>
            </w: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39,475</w:t>
            </w:r>
          </w:p>
        </w:tc>
        <w:tc>
          <w:tcPr>
            <w:tcW w:w="120" w:type="dxa"/>
            <w:vAlign w:val="bottom"/>
            <w:shd w:val="clear" w:color="auto" w:fill="CFF0FC"/>
          </w:tcPr>
          <w:p>
            <w:pPr>
              <w:spacing w:after="0"/>
              <w:rPr>
                <w:sz w:val="19"/>
                <w:szCs w:val="19"/>
                <w:color w:val="auto"/>
              </w:rPr>
            </w:pPr>
          </w:p>
        </w:tc>
      </w:tr>
      <w:tr>
        <w:trPr>
          <w:trHeight w:val="230"/>
        </w:trPr>
        <w:tc>
          <w:tcPr>
            <w:tcW w:w="7940" w:type="dxa"/>
            <w:vAlign w:val="bottom"/>
            <w:gridSpan w:val="2"/>
          </w:tcPr>
          <w:p>
            <w:pPr>
              <w:spacing w:after="0"/>
              <w:rPr>
                <w:sz w:val="20"/>
                <w:szCs w:val="20"/>
                <w:color w:val="auto"/>
              </w:rPr>
            </w:pPr>
            <w:r>
              <w:rPr>
                <w:rFonts w:ascii="Arial" w:cs="Arial" w:eastAsia="Arial" w:hAnsi="Arial"/>
                <w:sz w:val="18"/>
                <w:szCs w:val="18"/>
                <w:color w:val="auto"/>
              </w:rPr>
              <w:t>Operating lease liability</w:t>
            </w: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1,573</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1,693</w:t>
            </w:r>
          </w:p>
        </w:tc>
        <w:tc>
          <w:tcPr>
            <w:tcW w:w="120" w:type="dxa"/>
            <w:vAlign w:val="bottom"/>
          </w:tcPr>
          <w:p>
            <w:pPr>
              <w:spacing w:after="0"/>
              <w:rPr>
                <w:sz w:val="19"/>
                <w:szCs w:val="19"/>
                <w:color w:val="auto"/>
              </w:rPr>
            </w:pPr>
          </w:p>
        </w:tc>
      </w:tr>
      <w:tr>
        <w:trPr>
          <w:trHeight w:val="230"/>
        </w:trPr>
        <w:tc>
          <w:tcPr>
            <w:tcW w:w="794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Financing lease liability</w:t>
            </w:r>
          </w:p>
        </w:tc>
        <w:tc>
          <w:tcPr>
            <w:tcW w:w="28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w:t>
            </w: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r>
      <w:tr>
        <w:trPr>
          <w:trHeight w:val="230"/>
        </w:trPr>
        <w:tc>
          <w:tcPr>
            <w:tcW w:w="7940" w:type="dxa"/>
            <w:vAlign w:val="bottom"/>
            <w:tcBorders>
              <w:bottom w:val="single" w:sz="8" w:color="CFF0FC"/>
            </w:tcBorders>
            <w:gridSpan w:val="2"/>
          </w:tcPr>
          <w:p>
            <w:pPr>
              <w:spacing w:after="0"/>
              <w:rPr>
                <w:sz w:val="20"/>
                <w:szCs w:val="20"/>
                <w:color w:val="auto"/>
              </w:rPr>
            </w:pPr>
            <w:r>
              <w:rPr>
                <w:rFonts w:ascii="Arial" w:cs="Arial" w:eastAsia="Arial" w:hAnsi="Arial"/>
                <w:sz w:val="18"/>
                <w:szCs w:val="18"/>
                <w:b w:val="1"/>
                <w:bCs w:val="1"/>
                <w:color w:val="auto"/>
              </w:rPr>
              <w:t>Total liabilities</w:t>
            </w:r>
          </w:p>
        </w:tc>
        <w:tc>
          <w:tcPr>
            <w:tcW w:w="28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46,874</w:t>
            </w:r>
          </w:p>
        </w:tc>
        <w:tc>
          <w:tcPr>
            <w:tcW w:w="26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41,168</w:t>
            </w:r>
          </w:p>
        </w:tc>
        <w:tc>
          <w:tcPr>
            <w:tcW w:w="120" w:type="dxa"/>
            <w:vAlign w:val="bottom"/>
            <w:tcBorders>
              <w:bottom w:val="single" w:sz="8" w:color="CFF0FC"/>
            </w:tcBorders>
          </w:tcPr>
          <w:p>
            <w:pPr>
              <w:spacing w:after="0"/>
              <w:rPr>
                <w:sz w:val="19"/>
                <w:szCs w:val="19"/>
                <w:color w:val="auto"/>
              </w:rPr>
            </w:pPr>
          </w:p>
        </w:tc>
      </w:tr>
      <w:tr>
        <w:trPr>
          <w:trHeight w:val="223"/>
        </w:trPr>
        <w:tc>
          <w:tcPr>
            <w:tcW w:w="7940" w:type="dxa"/>
            <w:vAlign w:val="bottom"/>
            <w:gridSpan w:val="2"/>
            <w:shd w:val="clear" w:color="auto" w:fill="CFF0FC"/>
          </w:tcPr>
          <w:p>
            <w:pPr>
              <w:spacing w:after="0"/>
              <w:rPr>
                <w:sz w:val="20"/>
                <w:szCs w:val="20"/>
                <w:color w:val="auto"/>
              </w:rPr>
            </w:pPr>
            <w:r>
              <w:rPr>
                <w:rFonts w:ascii="Arial" w:cs="Arial" w:eastAsia="Arial" w:hAnsi="Arial"/>
                <w:sz w:val="18"/>
                <w:szCs w:val="18"/>
                <w:b w:val="1"/>
                <w:bCs w:val="1"/>
                <w:color w:val="auto"/>
              </w:rPr>
              <w:t>Commitments and Contingencies (Note 10)</w:t>
            </w:r>
          </w:p>
        </w:tc>
        <w:tc>
          <w:tcPr>
            <w:tcW w:w="280" w:type="dxa"/>
            <w:vAlign w:val="bottom"/>
            <w:shd w:val="clear" w:color="auto" w:fill="CFF0FC"/>
          </w:tcPr>
          <w:p>
            <w:pPr>
              <w:spacing w:after="0"/>
              <w:rPr>
                <w:sz w:val="19"/>
                <w:szCs w:val="19"/>
                <w:color w:val="auto"/>
              </w:rPr>
            </w:pPr>
          </w:p>
        </w:tc>
        <w:tc>
          <w:tcPr>
            <w:tcW w:w="11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7940" w:type="dxa"/>
            <w:vAlign w:val="bottom"/>
            <w:gridSpan w:val="2"/>
          </w:tcPr>
          <w:p>
            <w:pPr>
              <w:spacing w:after="0"/>
              <w:rPr>
                <w:sz w:val="20"/>
                <w:szCs w:val="20"/>
                <w:color w:val="auto"/>
              </w:rPr>
            </w:pPr>
            <w:r>
              <w:rPr>
                <w:rFonts w:ascii="Arial" w:cs="Arial" w:eastAsia="Arial" w:hAnsi="Arial"/>
                <w:sz w:val="18"/>
                <w:szCs w:val="18"/>
                <w:color w:val="auto"/>
              </w:rPr>
              <w:t>Stockholders’ equity:</w:t>
            </w:r>
          </w:p>
        </w:tc>
        <w:tc>
          <w:tcPr>
            <w:tcW w:w="2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15"/>
        </w:trPr>
        <w:tc>
          <w:tcPr>
            <w:tcW w:w="794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Common stock, $0.0001 par value; 200,000,000 authorized;</w:t>
            </w:r>
          </w:p>
        </w:tc>
        <w:tc>
          <w:tcPr>
            <w:tcW w:w="280" w:type="dxa"/>
            <w:vAlign w:val="bottom"/>
            <w:shd w:val="clear" w:color="auto" w:fill="CFF0FC"/>
          </w:tcPr>
          <w:p>
            <w:pPr>
              <w:spacing w:after="0"/>
              <w:rPr>
                <w:sz w:val="18"/>
                <w:szCs w:val="18"/>
                <w:color w:val="auto"/>
              </w:rPr>
            </w:pPr>
          </w:p>
        </w:tc>
        <w:tc>
          <w:tcPr>
            <w:tcW w:w="11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2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r>
      <w:tr>
        <w:trPr>
          <w:trHeight w:val="216"/>
        </w:trPr>
        <w:tc>
          <w:tcPr>
            <w:tcW w:w="7940" w:type="dxa"/>
            <w:vAlign w:val="bottom"/>
            <w:gridSpan w:val="2"/>
            <w:shd w:val="clear" w:color="auto" w:fill="CFF0FC"/>
          </w:tcPr>
          <w:p>
            <w:pPr>
              <w:ind w:left="280"/>
              <w:spacing w:after="0"/>
              <w:rPr>
                <w:sz w:val="20"/>
                <w:szCs w:val="20"/>
                <w:color w:val="auto"/>
              </w:rPr>
            </w:pPr>
            <w:r>
              <w:rPr>
                <w:rFonts w:ascii="Arial" w:cs="Arial" w:eastAsia="Arial" w:hAnsi="Arial"/>
                <w:sz w:val="18"/>
                <w:szCs w:val="18"/>
                <w:color w:val="auto"/>
              </w:rPr>
              <w:t>27,619,864 shares issued and 27,514,720 shares outstanding as of June 30, 2021;</w:t>
            </w:r>
          </w:p>
        </w:tc>
        <w:tc>
          <w:tcPr>
            <w:tcW w:w="280" w:type="dxa"/>
            <w:vAlign w:val="bottom"/>
            <w:shd w:val="clear" w:color="auto" w:fill="CFF0FC"/>
          </w:tcPr>
          <w:p>
            <w:pPr>
              <w:spacing w:after="0"/>
              <w:rPr>
                <w:sz w:val="18"/>
                <w:szCs w:val="18"/>
                <w:color w:val="auto"/>
              </w:rPr>
            </w:pPr>
          </w:p>
        </w:tc>
        <w:tc>
          <w:tcPr>
            <w:tcW w:w="11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2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r>
      <w:tr>
        <w:trPr>
          <w:trHeight w:val="230"/>
        </w:trPr>
        <w:tc>
          <w:tcPr>
            <w:tcW w:w="7940" w:type="dxa"/>
            <w:vAlign w:val="bottom"/>
            <w:gridSpan w:val="2"/>
            <w:shd w:val="clear" w:color="auto" w:fill="CFF0FC"/>
          </w:tcPr>
          <w:p>
            <w:pPr>
              <w:ind w:left="280"/>
              <w:spacing w:after="0"/>
              <w:rPr>
                <w:sz w:val="20"/>
                <w:szCs w:val="20"/>
                <w:color w:val="auto"/>
              </w:rPr>
            </w:pPr>
            <w:r>
              <w:rPr>
                <w:rFonts w:ascii="Arial" w:cs="Arial" w:eastAsia="Arial" w:hAnsi="Arial"/>
                <w:sz w:val="18"/>
                <w:szCs w:val="18"/>
                <w:color w:val="auto"/>
              </w:rPr>
              <w:t>25,546,257 shares issued and 25,441,113 shares outstanding as of December 31, 2020</w:t>
            </w:r>
          </w:p>
        </w:tc>
        <w:tc>
          <w:tcPr>
            <w:tcW w:w="280" w:type="dxa"/>
            <w:vAlign w:val="bottom"/>
            <w:shd w:val="clear" w:color="auto" w:fill="CFF0FC"/>
          </w:tcPr>
          <w:p>
            <w:pPr>
              <w:spacing w:after="0"/>
              <w:rPr>
                <w:sz w:val="20"/>
                <w:szCs w:val="20"/>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w:t>
            </w:r>
          </w:p>
        </w:tc>
        <w:tc>
          <w:tcPr>
            <w:tcW w:w="260" w:type="dxa"/>
            <w:vAlign w:val="bottom"/>
            <w:shd w:val="clear" w:color="auto" w:fill="CFF0FC"/>
          </w:tcPr>
          <w:p>
            <w:pPr>
              <w:spacing w:after="0"/>
              <w:rPr>
                <w:sz w:val="20"/>
                <w:szCs w:val="20"/>
                <w:color w:val="auto"/>
              </w:rPr>
            </w:pPr>
          </w:p>
        </w:tc>
        <w:tc>
          <w:tcPr>
            <w:tcW w:w="2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w:t>
            </w:r>
          </w:p>
        </w:tc>
        <w:tc>
          <w:tcPr>
            <w:tcW w:w="120" w:type="dxa"/>
            <w:vAlign w:val="bottom"/>
            <w:shd w:val="clear" w:color="auto" w:fill="CFF0FC"/>
          </w:tcPr>
          <w:p>
            <w:pPr>
              <w:spacing w:after="0"/>
              <w:rPr>
                <w:sz w:val="20"/>
                <w:szCs w:val="20"/>
                <w:color w:val="auto"/>
              </w:rPr>
            </w:pPr>
          </w:p>
        </w:tc>
      </w:tr>
      <w:tr>
        <w:trPr>
          <w:trHeight w:val="230"/>
        </w:trPr>
        <w:tc>
          <w:tcPr>
            <w:tcW w:w="7940" w:type="dxa"/>
            <w:vAlign w:val="bottom"/>
            <w:gridSpan w:val="2"/>
          </w:tcPr>
          <w:p>
            <w:pPr>
              <w:spacing w:after="0"/>
              <w:rPr>
                <w:sz w:val="20"/>
                <w:szCs w:val="20"/>
                <w:color w:val="auto"/>
              </w:rPr>
            </w:pPr>
            <w:r>
              <w:rPr>
                <w:rFonts w:ascii="Arial" w:cs="Arial" w:eastAsia="Arial" w:hAnsi="Arial"/>
                <w:sz w:val="18"/>
                <w:szCs w:val="18"/>
                <w:color w:val="auto"/>
              </w:rPr>
              <w:t>Additional paid-in capital</w:t>
            </w: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168,751</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136,868</w:t>
            </w:r>
          </w:p>
        </w:tc>
        <w:tc>
          <w:tcPr>
            <w:tcW w:w="120" w:type="dxa"/>
            <w:vAlign w:val="bottom"/>
          </w:tcPr>
          <w:p>
            <w:pPr>
              <w:spacing w:after="0"/>
              <w:rPr>
                <w:sz w:val="19"/>
                <w:szCs w:val="19"/>
                <w:color w:val="auto"/>
              </w:rPr>
            </w:pPr>
          </w:p>
        </w:tc>
      </w:tr>
      <w:tr>
        <w:trPr>
          <w:trHeight w:val="230"/>
        </w:trPr>
        <w:tc>
          <w:tcPr>
            <w:tcW w:w="794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Accumulated deficit</w:t>
            </w:r>
          </w:p>
        </w:tc>
        <w:tc>
          <w:tcPr>
            <w:tcW w:w="28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(116,597)</w:t>
            </w: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(103,886)</w:t>
            </w:r>
          </w:p>
        </w:tc>
      </w:tr>
      <w:tr>
        <w:trPr>
          <w:trHeight w:val="229"/>
        </w:trPr>
        <w:tc>
          <w:tcPr>
            <w:tcW w:w="7940" w:type="dxa"/>
            <w:vAlign w:val="bottom"/>
            <w:gridSpan w:val="2"/>
          </w:tcPr>
          <w:p>
            <w:pPr>
              <w:spacing w:after="0"/>
              <w:rPr>
                <w:sz w:val="20"/>
                <w:szCs w:val="20"/>
                <w:color w:val="auto"/>
              </w:rPr>
            </w:pPr>
            <w:r>
              <w:rPr>
                <w:rFonts w:ascii="Arial" w:cs="Arial" w:eastAsia="Arial" w:hAnsi="Arial"/>
                <w:sz w:val="18"/>
                <w:szCs w:val="18"/>
                <w:color w:val="auto"/>
              </w:rPr>
              <w:t>Accumulated other comprehensive (loss) gain</w:t>
            </w:r>
          </w:p>
        </w:tc>
        <w:tc>
          <w:tcPr>
            <w:tcW w:w="280" w:type="dxa"/>
            <w:vAlign w:val="bottom"/>
          </w:tcPr>
          <w:p>
            <w:pPr>
              <w:spacing w:after="0"/>
              <w:rPr>
                <w:sz w:val="19"/>
                <w:szCs w:val="19"/>
                <w:color w:val="auto"/>
              </w:rPr>
            </w:pP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w:t>
            </w:r>
          </w:p>
        </w:tc>
        <w:tc>
          <w:tcPr>
            <w:tcW w:w="120" w:type="dxa"/>
            <w:vAlign w:val="bottom"/>
          </w:tcPr>
          <w:p>
            <w:pPr>
              <w:spacing w:after="0"/>
              <w:rPr>
                <w:sz w:val="19"/>
                <w:szCs w:val="19"/>
                <w:color w:val="auto"/>
              </w:rPr>
            </w:pPr>
          </w:p>
        </w:tc>
      </w:tr>
      <w:tr>
        <w:trPr>
          <w:trHeight w:val="223"/>
        </w:trPr>
        <w:tc>
          <w:tcPr>
            <w:tcW w:w="7940" w:type="dxa"/>
            <w:vAlign w:val="bottom"/>
            <w:tcBorders>
              <w:top w:val="single" w:sz="8" w:color="CFF0FC"/>
            </w:tcBorders>
            <w:gridSpan w:val="2"/>
            <w:shd w:val="clear" w:color="auto" w:fill="CFF0FC"/>
          </w:tcPr>
          <w:p>
            <w:pPr>
              <w:spacing w:after="0"/>
              <w:rPr>
                <w:sz w:val="20"/>
                <w:szCs w:val="20"/>
                <w:color w:val="auto"/>
              </w:rPr>
            </w:pPr>
            <w:r>
              <w:rPr>
                <w:rFonts w:ascii="Arial" w:cs="Arial" w:eastAsia="Arial" w:hAnsi="Arial"/>
                <w:sz w:val="18"/>
                <w:szCs w:val="18"/>
                <w:color w:val="auto"/>
              </w:rPr>
              <w:t>Total stockholders’ equity</w:t>
            </w:r>
          </w:p>
        </w:tc>
        <w:tc>
          <w:tcPr>
            <w:tcW w:w="280" w:type="dxa"/>
            <w:vAlign w:val="bottom"/>
            <w:tcBorders>
              <w:top w:val="single" w:sz="8" w:color="auto"/>
              <w:bottom w:val="single" w:sz="8" w:color="auto"/>
            </w:tcBorders>
            <w:shd w:val="clear" w:color="auto" w:fill="CFF0FC"/>
          </w:tcPr>
          <w:p>
            <w:pPr>
              <w:spacing w:after="0"/>
              <w:rPr>
                <w:sz w:val="19"/>
                <w:szCs w:val="19"/>
                <w:color w:val="auto"/>
              </w:rPr>
            </w:pPr>
          </w:p>
        </w:tc>
        <w:tc>
          <w:tcPr>
            <w:tcW w:w="1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52,156</w:t>
            </w:r>
          </w:p>
        </w:tc>
        <w:tc>
          <w:tcPr>
            <w:tcW w:w="26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bottom w:val="single" w:sz="8" w:color="auto"/>
            </w:tcBorders>
            <w:shd w:val="clear" w:color="auto" w:fill="CFF0FC"/>
          </w:tcPr>
          <w:p>
            <w:pPr>
              <w:spacing w:after="0"/>
              <w:rPr>
                <w:sz w:val="19"/>
                <w:szCs w:val="19"/>
                <w:color w:val="auto"/>
              </w:rPr>
            </w:pPr>
          </w:p>
        </w:tc>
        <w:tc>
          <w:tcPr>
            <w:tcW w:w="12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32,986</w:t>
            </w:r>
          </w:p>
        </w:tc>
        <w:tc>
          <w:tcPr>
            <w:tcW w:w="120" w:type="dxa"/>
            <w:vAlign w:val="bottom"/>
            <w:tcBorders>
              <w:top w:val="single" w:sz="8" w:color="CFF0FC"/>
            </w:tcBorders>
            <w:shd w:val="clear" w:color="auto" w:fill="CFF0FC"/>
          </w:tcPr>
          <w:p>
            <w:pPr>
              <w:spacing w:after="0"/>
              <w:rPr>
                <w:sz w:val="19"/>
                <w:szCs w:val="19"/>
                <w:color w:val="auto"/>
              </w:rPr>
            </w:pPr>
          </w:p>
        </w:tc>
      </w:tr>
      <w:tr>
        <w:trPr>
          <w:trHeight w:val="223"/>
        </w:trPr>
        <w:tc>
          <w:tcPr>
            <w:tcW w:w="7940" w:type="dxa"/>
            <w:vAlign w:val="bottom"/>
            <w:gridSpan w:val="2"/>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2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99,030</w:t>
            </w:r>
          </w:p>
        </w:tc>
        <w:tc>
          <w:tcPr>
            <w:tcW w:w="26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74,154</w:t>
            </w:r>
          </w:p>
        </w:tc>
        <w:tc>
          <w:tcPr>
            <w:tcW w:w="120" w:type="dxa"/>
            <w:vAlign w:val="bottom"/>
          </w:tcPr>
          <w:p>
            <w:pPr>
              <w:spacing w:after="0"/>
              <w:rPr>
                <w:sz w:val="19"/>
                <w:szCs w:val="19"/>
                <w:color w:val="auto"/>
              </w:rPr>
            </w:pPr>
          </w:p>
        </w:tc>
      </w:tr>
      <w:tr>
        <w:trPr>
          <w:trHeight w:val="20"/>
        </w:trPr>
        <w:tc>
          <w:tcPr>
            <w:tcW w:w="960" w:type="dxa"/>
            <w:vAlign w:val="bottom"/>
          </w:tcPr>
          <w:p>
            <w:pPr>
              <w:spacing w:after="0" w:line="20" w:lineRule="exact"/>
              <w:rPr>
                <w:sz w:val="1"/>
                <w:szCs w:val="1"/>
                <w:color w:val="auto"/>
              </w:rPr>
            </w:pPr>
          </w:p>
        </w:tc>
        <w:tc>
          <w:tcPr>
            <w:tcW w:w="69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condensed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VERRICA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STATEMENTS OF OPERATIONS AND COMPREHENSIVE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share and per share amounts)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80" w:type="dxa"/>
            <w:vAlign w:val="bottom"/>
            <w:gridSpan w:val="6"/>
          </w:tcPr>
          <w:p>
            <w:pPr>
              <w:jc w:val="right"/>
              <w:ind w:right="300"/>
              <w:spacing w:after="0"/>
              <w:rPr>
                <w:sz w:val="20"/>
                <w:szCs w:val="20"/>
                <w:color w:val="auto"/>
              </w:rPr>
            </w:pPr>
            <w:r>
              <w:rPr>
                <w:rFonts w:ascii="Arial" w:cs="Arial" w:eastAsia="Arial" w:hAnsi="Arial"/>
                <w:sz w:val="14"/>
                <w:szCs w:val="14"/>
                <w:b w:val="1"/>
                <w:bCs w:val="1"/>
                <w:color w:val="auto"/>
                <w:w w:val="94"/>
              </w:rPr>
              <w:t>For the Three Months Ended June 30,</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500" w:type="dxa"/>
            <w:vAlign w:val="bottom"/>
            <w:gridSpan w:val="6"/>
          </w:tcPr>
          <w:p>
            <w:pPr>
              <w:jc w:val="right"/>
              <w:ind w:right="300"/>
              <w:spacing w:after="0"/>
              <w:rPr>
                <w:sz w:val="20"/>
                <w:szCs w:val="20"/>
                <w:color w:val="auto"/>
              </w:rPr>
            </w:pPr>
            <w:r>
              <w:rPr>
                <w:rFonts w:ascii="Arial" w:cs="Arial" w:eastAsia="Arial" w:hAnsi="Arial"/>
                <w:sz w:val="14"/>
                <w:szCs w:val="14"/>
                <w:b w:val="1"/>
                <w:bCs w:val="1"/>
                <w:color w:val="auto"/>
                <w:w w:val="93"/>
              </w:rPr>
              <w:t>For the Six Months Ended June 30,</w:t>
            </w:r>
          </w:p>
        </w:tc>
      </w:tr>
      <w:tr>
        <w:trPr>
          <w:trHeight w:val="155"/>
        </w:trPr>
        <w:tc>
          <w:tcPr>
            <w:tcW w:w="5740" w:type="dxa"/>
            <w:vAlign w:val="bottom"/>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1040" w:type="dxa"/>
            <w:vAlign w:val="bottom"/>
            <w:tcBorders>
              <w:top w:val="single" w:sz="8" w:color="auto"/>
              <w:bottom w:val="single" w:sz="8" w:color="auto"/>
            </w:tcBorders>
          </w:tcPr>
          <w:p>
            <w:pPr>
              <w:jc w:val="right"/>
              <w:ind w:right="352"/>
              <w:spacing w:after="0" w:line="155" w:lineRule="exact"/>
              <w:rPr>
                <w:sz w:val="20"/>
                <w:szCs w:val="20"/>
                <w:color w:val="auto"/>
              </w:rPr>
            </w:pPr>
            <w:r>
              <w:rPr>
                <w:rFonts w:ascii="Arial" w:cs="Arial" w:eastAsia="Arial" w:hAnsi="Arial"/>
                <w:sz w:val="14"/>
                <w:szCs w:val="14"/>
                <w:b w:val="1"/>
                <w:bCs w:val="1"/>
                <w:color w:val="auto"/>
              </w:rPr>
              <w:t>2021</w:t>
            </w:r>
          </w:p>
        </w:tc>
        <w:tc>
          <w:tcPr>
            <w:tcW w:w="16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980" w:type="dxa"/>
            <w:vAlign w:val="bottom"/>
            <w:tcBorders>
              <w:top w:val="single" w:sz="8" w:color="auto"/>
              <w:bottom w:val="single" w:sz="8" w:color="auto"/>
            </w:tcBorders>
          </w:tcPr>
          <w:p>
            <w:pPr>
              <w:jc w:val="right"/>
              <w:ind w:right="391"/>
              <w:spacing w:after="0" w:line="155" w:lineRule="exact"/>
              <w:rPr>
                <w:sz w:val="20"/>
                <w:szCs w:val="20"/>
                <w:color w:val="auto"/>
              </w:rPr>
            </w:pPr>
            <w:r>
              <w:rPr>
                <w:rFonts w:ascii="Arial" w:cs="Arial" w:eastAsia="Arial" w:hAnsi="Arial"/>
                <w:sz w:val="14"/>
                <w:szCs w:val="14"/>
                <w:b w:val="1"/>
                <w:bCs w:val="1"/>
                <w:color w:val="auto"/>
              </w:rPr>
              <w:t>2020</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1000" w:type="dxa"/>
            <w:vAlign w:val="bottom"/>
            <w:tcBorders>
              <w:top w:val="single" w:sz="8" w:color="auto"/>
              <w:bottom w:val="single" w:sz="8" w:color="auto"/>
            </w:tcBorders>
          </w:tcPr>
          <w:p>
            <w:pPr>
              <w:jc w:val="right"/>
              <w:ind w:right="332"/>
              <w:spacing w:after="0" w:line="155" w:lineRule="exact"/>
              <w:rPr>
                <w:sz w:val="20"/>
                <w:szCs w:val="20"/>
                <w:color w:val="auto"/>
              </w:rPr>
            </w:pPr>
            <w:r>
              <w:rPr>
                <w:rFonts w:ascii="Arial" w:cs="Arial" w:eastAsia="Arial" w:hAnsi="Arial"/>
                <w:sz w:val="14"/>
                <w:szCs w:val="14"/>
                <w:b w:val="1"/>
                <w:bCs w:val="1"/>
                <w:color w:val="auto"/>
              </w:rPr>
              <w:t>2021</w:t>
            </w:r>
          </w:p>
        </w:tc>
        <w:tc>
          <w:tcPr>
            <w:tcW w:w="240" w:type="dxa"/>
            <w:vAlign w:val="bottom"/>
            <w:tcBorders>
              <w:top w:val="single" w:sz="8" w:color="auto"/>
            </w:tcBorders>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180" w:type="dxa"/>
            <w:vAlign w:val="bottom"/>
            <w:tcBorders>
              <w:top w:val="single" w:sz="8" w:color="auto"/>
              <w:bottom w:val="single" w:sz="8" w:color="auto"/>
            </w:tcBorders>
          </w:tcPr>
          <w:p>
            <w:pPr>
              <w:spacing w:after="0"/>
              <w:rPr>
                <w:sz w:val="13"/>
                <w:szCs w:val="13"/>
                <w:color w:val="auto"/>
              </w:rPr>
            </w:pPr>
          </w:p>
        </w:tc>
        <w:tc>
          <w:tcPr>
            <w:tcW w:w="940" w:type="dxa"/>
            <w:vAlign w:val="bottom"/>
            <w:tcBorders>
              <w:top w:val="single" w:sz="8" w:color="auto"/>
              <w:bottom w:val="single" w:sz="8" w:color="auto"/>
            </w:tcBorders>
          </w:tcPr>
          <w:p>
            <w:pPr>
              <w:jc w:val="right"/>
              <w:ind w:right="351"/>
              <w:spacing w:after="0" w:line="155" w:lineRule="exact"/>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3"/>
                <w:szCs w:val="13"/>
                <w:color w:val="auto"/>
              </w:rPr>
            </w:pPr>
          </w:p>
        </w:tc>
      </w:tr>
      <w:tr>
        <w:trPr>
          <w:trHeight w:val="453"/>
        </w:trPr>
        <w:tc>
          <w:tcPr>
            <w:tcW w:w="5740" w:type="dxa"/>
            <w:vAlign w:val="bottom"/>
          </w:tcPr>
          <w:p>
            <w:pPr>
              <w:spacing w:after="0"/>
              <w:rPr>
                <w:sz w:val="20"/>
                <w:szCs w:val="20"/>
                <w:color w:val="auto"/>
              </w:rPr>
            </w:pPr>
            <w:r>
              <w:rPr>
                <w:rFonts w:ascii="Arial" w:cs="Arial" w:eastAsia="Arial" w:hAnsi="Arial"/>
                <w:sz w:val="18"/>
                <w:szCs w:val="18"/>
                <w:b w:val="1"/>
                <w:bCs w:val="1"/>
                <w:color w:val="auto"/>
              </w:rPr>
              <w:t>License revenue</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34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12,000</w:t>
            </w:r>
          </w:p>
        </w:tc>
        <w:tc>
          <w:tcPr>
            <w:tcW w:w="240" w:type="dxa"/>
            <w:vAlign w:val="bottom"/>
          </w:tcPr>
          <w:p>
            <w:pPr>
              <w:spacing w:after="0"/>
              <w:rPr>
                <w:sz w:val="24"/>
                <w:szCs w:val="24"/>
                <w:color w:val="auto"/>
              </w:rPr>
            </w:pPr>
          </w:p>
        </w:tc>
        <w:tc>
          <w:tcPr>
            <w:tcW w:w="200" w:type="dxa"/>
            <w:vAlign w:val="bottom"/>
            <w:gridSpan w:val="2"/>
          </w:tcPr>
          <w:p>
            <w:pPr>
              <w:jc w:val="right"/>
              <w:ind w:right="27"/>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r>
      <w:tr>
        <w:trPr>
          <w:trHeight w:val="230"/>
        </w:trPr>
        <w:tc>
          <w:tcPr>
            <w:tcW w:w="574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Operating expenses:</w:t>
            </w: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29"/>
        </w:trPr>
        <w:tc>
          <w:tcPr>
            <w:tcW w:w="5740" w:type="dxa"/>
            <w:vAlign w:val="bottom"/>
          </w:tcPr>
          <w:p>
            <w:pPr>
              <w:ind w:left="260"/>
              <w:spacing w:after="0"/>
              <w:rPr>
                <w:sz w:val="20"/>
                <w:szCs w:val="20"/>
                <w:color w:val="auto"/>
              </w:rPr>
            </w:pPr>
            <w:r>
              <w:rPr>
                <w:rFonts w:ascii="Arial" w:cs="Arial" w:eastAsia="Arial" w:hAnsi="Arial"/>
                <w:sz w:val="18"/>
                <w:szCs w:val="18"/>
                <w:color w:val="auto"/>
              </w:rPr>
              <w:t>Research and development</w:t>
            </w: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3,447</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3,521</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8,809</w:t>
            </w: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8,413</w:t>
            </w:r>
          </w:p>
        </w:tc>
        <w:tc>
          <w:tcPr>
            <w:tcW w:w="120" w:type="dxa"/>
            <w:vAlign w:val="bottom"/>
          </w:tcPr>
          <w:p>
            <w:pPr>
              <w:spacing w:after="0"/>
              <w:rPr>
                <w:sz w:val="19"/>
                <w:szCs w:val="19"/>
                <w:color w:val="auto"/>
              </w:rPr>
            </w:pPr>
          </w:p>
        </w:tc>
      </w:tr>
      <w:tr>
        <w:trPr>
          <w:trHeight w:val="229"/>
        </w:trPr>
        <w:tc>
          <w:tcPr>
            <w:tcW w:w="57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General and administrative</w:t>
            </w: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7,284</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5,110</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13,861</w:t>
            </w:r>
          </w:p>
        </w:tc>
        <w:tc>
          <w:tcPr>
            <w:tcW w:w="2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10,098</w:t>
            </w:r>
          </w:p>
        </w:tc>
        <w:tc>
          <w:tcPr>
            <w:tcW w:w="120" w:type="dxa"/>
            <w:vAlign w:val="bottom"/>
            <w:shd w:val="clear" w:color="auto" w:fill="CFF0FC"/>
          </w:tcPr>
          <w:p>
            <w:pPr>
              <w:spacing w:after="0"/>
              <w:rPr>
                <w:sz w:val="19"/>
                <w:szCs w:val="19"/>
                <w:color w:val="auto"/>
              </w:rPr>
            </w:pPr>
          </w:p>
        </w:tc>
      </w:tr>
      <w:tr>
        <w:trPr>
          <w:trHeight w:val="223"/>
        </w:trPr>
        <w:tc>
          <w:tcPr>
            <w:tcW w:w="57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 operating expenses</w:t>
            </w: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10,731</w:t>
            </w:r>
          </w:p>
        </w:tc>
        <w:tc>
          <w:tcPr>
            <w:tcW w:w="16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8,631</w:t>
            </w:r>
          </w:p>
        </w:tc>
        <w:tc>
          <w:tcPr>
            <w:tcW w:w="16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22,670</w:t>
            </w:r>
          </w:p>
        </w:tc>
        <w:tc>
          <w:tcPr>
            <w:tcW w:w="24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18,511</w:t>
            </w:r>
          </w:p>
        </w:tc>
        <w:tc>
          <w:tcPr>
            <w:tcW w:w="120" w:type="dxa"/>
            <w:vAlign w:val="bottom"/>
            <w:tcBorders>
              <w:bottom w:val="single" w:sz="8" w:color="CFF0FC"/>
            </w:tcBorders>
          </w:tcPr>
          <w:p>
            <w:pPr>
              <w:spacing w:after="0"/>
              <w:rPr>
                <w:sz w:val="19"/>
                <w:szCs w:val="19"/>
                <w:color w:val="auto"/>
              </w:rPr>
            </w:pPr>
          </w:p>
        </w:tc>
      </w:tr>
      <w:tr>
        <w:trPr>
          <w:trHeight w:val="223"/>
        </w:trPr>
        <w:tc>
          <w:tcPr>
            <w:tcW w:w="574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Loss from operations</w:t>
            </w: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(10,731)</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(8,631)</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(10,670)</w:t>
            </w:r>
          </w:p>
        </w:tc>
        <w:tc>
          <w:tcPr>
            <w:tcW w:w="2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(18,511)</w:t>
            </w:r>
          </w:p>
        </w:tc>
        <w:tc>
          <w:tcPr>
            <w:tcW w:w="120" w:type="dxa"/>
            <w:vAlign w:val="bottom"/>
            <w:shd w:val="clear" w:color="auto" w:fill="CFF0FC"/>
          </w:tcPr>
          <w:p>
            <w:pPr>
              <w:spacing w:after="0"/>
              <w:rPr>
                <w:sz w:val="19"/>
                <w:szCs w:val="19"/>
                <w:color w:val="auto"/>
              </w:rPr>
            </w:pPr>
          </w:p>
        </w:tc>
      </w:tr>
      <w:tr>
        <w:trPr>
          <w:trHeight w:val="223"/>
        </w:trPr>
        <w:tc>
          <w:tcPr>
            <w:tcW w:w="5740" w:type="dxa"/>
            <w:vAlign w:val="bottom"/>
          </w:tcPr>
          <w:p>
            <w:pPr>
              <w:spacing w:after="0"/>
              <w:rPr>
                <w:sz w:val="20"/>
                <w:szCs w:val="20"/>
                <w:color w:val="auto"/>
              </w:rPr>
            </w:pPr>
            <w:r>
              <w:rPr>
                <w:rFonts w:ascii="Arial" w:cs="Arial" w:eastAsia="Arial" w:hAnsi="Arial"/>
                <w:sz w:val="18"/>
                <w:szCs w:val="18"/>
                <w:b w:val="1"/>
                <w:bCs w:val="1"/>
                <w:color w:val="auto"/>
              </w:rPr>
              <w:t>Other income (expense):</w:t>
            </w: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29"/>
        </w:trPr>
        <w:tc>
          <w:tcPr>
            <w:tcW w:w="57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Interest income</w:t>
            </w: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126</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65</w:t>
            </w:r>
          </w:p>
        </w:tc>
        <w:tc>
          <w:tcPr>
            <w:tcW w:w="2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404</w:t>
            </w:r>
          </w:p>
        </w:tc>
        <w:tc>
          <w:tcPr>
            <w:tcW w:w="120" w:type="dxa"/>
            <w:vAlign w:val="bottom"/>
            <w:shd w:val="clear" w:color="auto" w:fill="CFF0FC"/>
          </w:tcPr>
          <w:p>
            <w:pPr>
              <w:spacing w:after="0"/>
              <w:rPr>
                <w:sz w:val="19"/>
                <w:szCs w:val="19"/>
                <w:color w:val="auto"/>
              </w:rPr>
            </w:pPr>
          </w:p>
        </w:tc>
      </w:tr>
      <w:tr>
        <w:trPr>
          <w:trHeight w:val="230"/>
        </w:trPr>
        <w:tc>
          <w:tcPr>
            <w:tcW w:w="5740" w:type="dxa"/>
            <w:vAlign w:val="bottom"/>
          </w:tcPr>
          <w:p>
            <w:pPr>
              <w:ind w:left="260"/>
              <w:spacing w:after="0"/>
              <w:rPr>
                <w:sz w:val="20"/>
                <w:szCs w:val="20"/>
                <w:color w:val="auto"/>
              </w:rPr>
            </w:pPr>
            <w:r>
              <w:rPr>
                <w:rFonts w:ascii="Arial" w:cs="Arial" w:eastAsia="Arial" w:hAnsi="Arial"/>
                <w:sz w:val="18"/>
                <w:szCs w:val="18"/>
                <w:color w:val="auto"/>
              </w:rPr>
              <w:t>Interest expense</w:t>
            </w:r>
          </w:p>
        </w:tc>
        <w:tc>
          <w:tcPr>
            <w:tcW w:w="100" w:type="dxa"/>
            <w:vAlign w:val="bottom"/>
          </w:tcPr>
          <w:p>
            <w:pPr>
              <w:spacing w:after="0"/>
              <w:rPr>
                <w:sz w:val="19"/>
                <w:szCs w:val="19"/>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8"/>
                <w:szCs w:val="18"/>
                <w:color w:val="auto"/>
              </w:rPr>
              <w:t>(1,077)</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(904)</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color w:val="auto"/>
              </w:rPr>
              <w:t>(2,106)</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(1,124)</w:t>
            </w:r>
          </w:p>
        </w:tc>
      </w:tr>
      <w:tr>
        <w:trPr>
          <w:trHeight w:val="223"/>
        </w:trPr>
        <w:tc>
          <w:tcPr>
            <w:tcW w:w="57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other expense</w:t>
            </w:r>
          </w:p>
        </w:tc>
        <w:tc>
          <w:tcPr>
            <w:tcW w:w="100" w:type="dxa"/>
            <w:vAlign w:val="bottom"/>
            <w:tcBorders>
              <w:top w:val="single" w:sz="8" w:color="auto"/>
              <w:bottom w:val="single" w:sz="8" w:color="auto"/>
            </w:tcBorders>
            <w:shd w:val="clear" w:color="auto" w:fill="CFF0FC"/>
          </w:tcPr>
          <w:p>
            <w:pPr>
              <w:spacing w:after="0"/>
              <w:rPr>
                <w:sz w:val="19"/>
                <w:szCs w:val="19"/>
                <w:color w:val="auto"/>
              </w:rPr>
            </w:pPr>
          </w:p>
        </w:tc>
        <w:tc>
          <w:tcPr>
            <w:tcW w:w="10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(1,044)</w:t>
            </w:r>
          </w:p>
        </w:tc>
        <w:tc>
          <w:tcPr>
            <w:tcW w:w="16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bottom w:val="single" w:sz="8" w:color="auto"/>
            </w:tcBorders>
            <w:shd w:val="clear" w:color="auto" w:fill="CFF0FC"/>
          </w:tcPr>
          <w:p>
            <w:pPr>
              <w:spacing w:after="0"/>
              <w:rPr>
                <w:sz w:val="19"/>
                <w:szCs w:val="19"/>
                <w:color w:val="auto"/>
              </w:rPr>
            </w:pPr>
          </w:p>
        </w:tc>
        <w:tc>
          <w:tcPr>
            <w:tcW w:w="9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(778)</w:t>
            </w:r>
          </w:p>
        </w:tc>
        <w:tc>
          <w:tcPr>
            <w:tcW w:w="16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bottom w:val="single" w:sz="8" w:color="auto"/>
            </w:tcBorders>
            <w:shd w:val="clear" w:color="auto" w:fill="CFF0FC"/>
          </w:tcPr>
          <w:p>
            <w:pPr>
              <w:spacing w:after="0"/>
              <w:rPr>
                <w:sz w:val="19"/>
                <w:szCs w:val="19"/>
                <w:color w:val="auto"/>
              </w:rPr>
            </w:pPr>
          </w:p>
        </w:tc>
        <w:tc>
          <w:tcPr>
            <w:tcW w:w="10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(2,041)</w:t>
            </w:r>
          </w:p>
        </w:tc>
        <w:tc>
          <w:tcPr>
            <w:tcW w:w="24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bottom w:val="single" w:sz="8" w:color="auto"/>
            </w:tcBorders>
            <w:shd w:val="clear" w:color="auto" w:fill="CFF0FC"/>
          </w:tcPr>
          <w:p>
            <w:pPr>
              <w:spacing w:after="0"/>
              <w:rPr>
                <w:sz w:val="19"/>
                <w:szCs w:val="19"/>
                <w:color w:val="auto"/>
              </w:rPr>
            </w:pPr>
          </w:p>
        </w:tc>
        <w:tc>
          <w:tcPr>
            <w:tcW w:w="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(720)</w:t>
            </w:r>
          </w:p>
        </w:tc>
        <w:tc>
          <w:tcPr>
            <w:tcW w:w="120" w:type="dxa"/>
            <w:vAlign w:val="bottom"/>
            <w:tcBorders>
              <w:top w:val="single" w:sz="8" w:color="CFF0FC"/>
            </w:tcBorders>
            <w:shd w:val="clear" w:color="auto" w:fill="CFF0FC"/>
          </w:tcPr>
          <w:p>
            <w:pPr>
              <w:spacing w:after="0"/>
              <w:rPr>
                <w:sz w:val="19"/>
                <w:szCs w:val="19"/>
                <w:color w:val="auto"/>
              </w:rPr>
            </w:pPr>
          </w:p>
        </w:tc>
      </w:tr>
      <w:tr>
        <w:trPr>
          <w:trHeight w:val="263"/>
        </w:trPr>
        <w:tc>
          <w:tcPr>
            <w:tcW w:w="5740" w:type="dxa"/>
            <w:vAlign w:val="bottom"/>
            <w:tcBorders>
              <w:bottom w:val="single" w:sz="8" w:color="CFF0FC"/>
            </w:tcBorders>
          </w:tcPr>
          <w:p>
            <w:pPr>
              <w:spacing w:after="0"/>
              <w:rPr>
                <w:sz w:val="20"/>
                <w:szCs w:val="20"/>
                <w:color w:val="auto"/>
              </w:rPr>
            </w:pPr>
            <w:r>
              <w:rPr>
                <w:rFonts w:ascii="Arial" w:cs="Arial" w:eastAsia="Arial" w:hAnsi="Arial"/>
                <w:sz w:val="18"/>
                <w:szCs w:val="18"/>
                <w:b w:val="1"/>
                <w:bCs w:val="1"/>
                <w:color w:val="auto"/>
              </w:rPr>
              <w:t>Net loss</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(11,775)</w:t>
            </w:r>
          </w:p>
        </w:tc>
        <w:tc>
          <w:tcPr>
            <w:tcW w:w="160" w:type="dxa"/>
            <w:vAlign w:val="bottom"/>
            <w:tcBorders>
              <w:bottom w:val="single" w:sz="8" w:color="CFF0FC"/>
            </w:tcBorders>
          </w:tcPr>
          <w:p>
            <w:pPr>
              <w:spacing w:after="0"/>
              <w:rPr>
                <w:sz w:val="22"/>
                <w:szCs w:val="22"/>
                <w:color w:val="auto"/>
              </w:rPr>
            </w:pPr>
          </w:p>
        </w:tc>
        <w:tc>
          <w:tcPr>
            <w:tcW w:w="80" w:type="dxa"/>
            <w:vAlign w:val="bottom"/>
            <w:tcBorders>
              <w:bottom w:val="single" w:sz="8" w:color="CFF0FC"/>
            </w:tcBorders>
          </w:tcPr>
          <w:p>
            <w:pPr>
              <w:spacing w:after="0"/>
              <w:rPr>
                <w:sz w:val="22"/>
                <w:szCs w:val="22"/>
                <w:color w:val="auto"/>
              </w:rPr>
            </w:pP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(9,409)</w:t>
            </w:r>
          </w:p>
        </w:tc>
        <w:tc>
          <w:tcPr>
            <w:tcW w:w="160" w:type="dxa"/>
            <w:vAlign w:val="bottom"/>
            <w:tcBorders>
              <w:bottom w:val="single" w:sz="8" w:color="CFF0FC"/>
            </w:tcBorders>
          </w:tcPr>
          <w:p>
            <w:pPr>
              <w:spacing w:after="0"/>
              <w:rPr>
                <w:sz w:val="22"/>
                <w:szCs w:val="22"/>
                <w:color w:val="auto"/>
              </w:rPr>
            </w:pPr>
          </w:p>
        </w:tc>
        <w:tc>
          <w:tcPr>
            <w:tcW w:w="80" w:type="dxa"/>
            <w:vAlign w:val="bottom"/>
            <w:tcBorders>
              <w:bottom w:val="single" w:sz="8" w:color="CFF0FC"/>
            </w:tcBorders>
          </w:tcPr>
          <w:p>
            <w:pPr>
              <w:spacing w:after="0"/>
              <w:rPr>
                <w:sz w:val="22"/>
                <w:szCs w:val="22"/>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(12,711)</w:t>
            </w:r>
          </w:p>
        </w:tc>
        <w:tc>
          <w:tcPr>
            <w:tcW w:w="240" w:type="dxa"/>
            <w:vAlign w:val="bottom"/>
            <w:tcBorders>
              <w:bottom w:val="single" w:sz="8" w:color="CFF0FC"/>
            </w:tcBorders>
          </w:tcPr>
          <w:p>
            <w:pPr>
              <w:spacing w:after="0"/>
              <w:rPr>
                <w:sz w:val="22"/>
                <w:szCs w:val="22"/>
                <w:color w:val="auto"/>
              </w:rPr>
            </w:pPr>
          </w:p>
        </w:tc>
        <w:tc>
          <w:tcPr>
            <w:tcW w:w="20" w:type="dxa"/>
            <w:vAlign w:val="bottom"/>
            <w:tcBorders>
              <w:bottom w:val="single" w:sz="8" w:color="CFF0FC"/>
            </w:tcBorders>
          </w:tcPr>
          <w:p>
            <w:pPr>
              <w:spacing w:after="0"/>
              <w:rPr>
                <w:sz w:val="22"/>
                <w:szCs w:val="22"/>
                <w:color w:val="auto"/>
              </w:rPr>
            </w:pPr>
          </w:p>
        </w:tc>
        <w:tc>
          <w:tcPr>
            <w:tcW w:w="180" w:type="dxa"/>
            <w:vAlign w:val="bottom"/>
            <w:tcBorders>
              <w:bottom w:val="single" w:sz="8" w:color="auto"/>
            </w:tcBorders>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(19,231)</w:t>
            </w:r>
          </w:p>
        </w:tc>
        <w:tc>
          <w:tcPr>
            <w:tcW w:w="120" w:type="dxa"/>
            <w:vAlign w:val="bottom"/>
            <w:tcBorders>
              <w:bottom w:val="single" w:sz="8" w:color="CFF0FC"/>
            </w:tcBorders>
          </w:tcPr>
          <w:p>
            <w:pPr>
              <w:spacing w:after="0"/>
              <w:rPr>
                <w:sz w:val="22"/>
                <w:szCs w:val="22"/>
                <w:color w:val="auto"/>
              </w:rPr>
            </w:pPr>
          </w:p>
        </w:tc>
      </w:tr>
      <w:tr>
        <w:trPr>
          <w:trHeight w:val="210"/>
        </w:trPr>
        <w:tc>
          <w:tcPr>
            <w:tcW w:w="57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9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r>
      <w:tr>
        <w:trPr>
          <w:trHeight w:val="269"/>
        </w:trPr>
        <w:tc>
          <w:tcPr>
            <w:tcW w:w="5740" w:type="dxa"/>
            <w:vAlign w:val="bottom"/>
          </w:tcPr>
          <w:p>
            <w:pPr>
              <w:spacing w:after="0"/>
              <w:rPr>
                <w:sz w:val="20"/>
                <w:szCs w:val="20"/>
                <w:color w:val="auto"/>
              </w:rPr>
            </w:pPr>
            <w:r>
              <w:rPr>
                <w:rFonts w:ascii="Arial" w:cs="Arial" w:eastAsia="Arial" w:hAnsi="Arial"/>
                <w:sz w:val="18"/>
                <w:szCs w:val="18"/>
                <w:color w:val="auto"/>
              </w:rPr>
              <w:t>Net loss per share, basic and diluted</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00" w:type="dxa"/>
            <w:vAlign w:val="bottom"/>
            <w:gridSpan w:val="2"/>
          </w:tcPr>
          <w:p>
            <w:pPr>
              <w:jc w:val="right"/>
              <w:ind w:right="100"/>
              <w:spacing w:after="0"/>
              <w:rPr>
                <w:sz w:val="20"/>
                <w:szCs w:val="20"/>
                <w:color w:val="auto"/>
              </w:rPr>
            </w:pPr>
            <w:r>
              <w:rPr>
                <w:rFonts w:ascii="Arial" w:cs="Arial" w:eastAsia="Arial" w:hAnsi="Arial"/>
                <w:sz w:val="18"/>
                <w:szCs w:val="18"/>
                <w:color w:val="auto"/>
              </w:rPr>
              <w:t>(0.43)</w:t>
            </w:r>
          </w:p>
        </w:tc>
        <w:tc>
          <w:tcPr>
            <w:tcW w:w="34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(0.38)</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180"/>
              <w:spacing w:after="0"/>
              <w:rPr>
                <w:sz w:val="20"/>
                <w:szCs w:val="20"/>
                <w:color w:val="auto"/>
              </w:rPr>
            </w:pPr>
            <w:r>
              <w:rPr>
                <w:rFonts w:ascii="Arial" w:cs="Arial" w:eastAsia="Arial" w:hAnsi="Arial"/>
                <w:sz w:val="18"/>
                <w:szCs w:val="18"/>
                <w:color w:val="auto"/>
              </w:rPr>
              <w:t>(0.46)</w:t>
            </w:r>
          </w:p>
        </w:tc>
        <w:tc>
          <w:tcPr>
            <w:tcW w:w="200" w:type="dxa"/>
            <w:vAlign w:val="bottom"/>
            <w:gridSpan w:val="2"/>
          </w:tcPr>
          <w:p>
            <w:pPr>
              <w:jc w:val="right"/>
              <w:ind w:right="27"/>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(0.77)</w:t>
            </w:r>
          </w:p>
        </w:tc>
      </w:tr>
      <w:tr>
        <w:trPr>
          <w:trHeight w:val="210"/>
        </w:trPr>
        <w:tc>
          <w:tcPr>
            <w:tcW w:w="574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Weighted average common shares outstanding, basic and diluted</w:t>
            </w:r>
          </w:p>
        </w:tc>
        <w:tc>
          <w:tcPr>
            <w:tcW w:w="100" w:type="dxa"/>
            <w:vAlign w:val="bottom"/>
            <w:tcBorders>
              <w:top w:val="single" w:sz="8" w:color="auto"/>
              <w:bottom w:val="single" w:sz="8" w:color="auto"/>
            </w:tcBorders>
            <w:shd w:val="clear" w:color="auto" w:fill="CFF0FC"/>
          </w:tcPr>
          <w:p>
            <w:pPr>
              <w:spacing w:after="0"/>
              <w:rPr>
                <w:sz w:val="18"/>
                <w:szCs w:val="18"/>
                <w:color w:val="auto"/>
              </w:rPr>
            </w:pPr>
          </w:p>
        </w:tc>
        <w:tc>
          <w:tcPr>
            <w:tcW w:w="10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27,513,665</w:t>
            </w:r>
          </w:p>
        </w:tc>
        <w:tc>
          <w:tcPr>
            <w:tcW w:w="160" w:type="dxa"/>
            <w:vAlign w:val="bottom"/>
            <w:tcBorders>
              <w:top w:val="single" w:sz="8" w:color="CFF0FC"/>
              <w:bottom w:val="single" w:sz="8" w:color="CFF0FC"/>
            </w:tcBorders>
            <w:shd w:val="clear" w:color="auto" w:fill="CFF0FC"/>
          </w:tcPr>
          <w:p>
            <w:pPr>
              <w:spacing w:after="0"/>
              <w:rPr>
                <w:sz w:val="18"/>
                <w:szCs w:val="18"/>
                <w:color w:val="auto"/>
              </w:rPr>
            </w:pPr>
          </w:p>
        </w:tc>
        <w:tc>
          <w:tcPr>
            <w:tcW w:w="80" w:type="dxa"/>
            <w:vAlign w:val="bottom"/>
            <w:tcBorders>
              <w:top w:val="single" w:sz="8" w:color="CFF0FC"/>
              <w:bottom w:val="single" w:sz="8" w:color="CFF0FC"/>
            </w:tcBorders>
            <w:shd w:val="clear" w:color="auto" w:fill="CFF0FC"/>
          </w:tcPr>
          <w:p>
            <w:pPr>
              <w:spacing w:after="0"/>
              <w:rPr>
                <w:sz w:val="18"/>
                <w:szCs w:val="18"/>
                <w:color w:val="auto"/>
              </w:rPr>
            </w:pPr>
          </w:p>
        </w:tc>
        <w:tc>
          <w:tcPr>
            <w:tcW w:w="260" w:type="dxa"/>
            <w:vAlign w:val="bottom"/>
            <w:tcBorders>
              <w:top w:val="single" w:sz="8" w:color="auto"/>
              <w:bottom w:val="single" w:sz="8" w:color="auto"/>
            </w:tcBorders>
            <w:shd w:val="clear" w:color="auto" w:fill="CFF0FC"/>
          </w:tcPr>
          <w:p>
            <w:pPr>
              <w:spacing w:after="0"/>
              <w:rPr>
                <w:sz w:val="18"/>
                <w:szCs w:val="18"/>
                <w:color w:val="auto"/>
              </w:rPr>
            </w:pPr>
          </w:p>
        </w:tc>
        <w:tc>
          <w:tcPr>
            <w:tcW w:w="9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24,965,634</w:t>
            </w:r>
          </w:p>
        </w:tc>
        <w:tc>
          <w:tcPr>
            <w:tcW w:w="160" w:type="dxa"/>
            <w:vAlign w:val="bottom"/>
            <w:tcBorders>
              <w:top w:val="single" w:sz="8" w:color="CFF0FC"/>
              <w:bottom w:val="single" w:sz="8" w:color="CFF0FC"/>
            </w:tcBorders>
            <w:shd w:val="clear" w:color="auto" w:fill="CFF0FC"/>
          </w:tcPr>
          <w:p>
            <w:pPr>
              <w:spacing w:after="0"/>
              <w:rPr>
                <w:sz w:val="18"/>
                <w:szCs w:val="18"/>
                <w:color w:val="auto"/>
              </w:rPr>
            </w:pPr>
          </w:p>
        </w:tc>
        <w:tc>
          <w:tcPr>
            <w:tcW w:w="80" w:type="dxa"/>
            <w:vAlign w:val="bottom"/>
            <w:tcBorders>
              <w:top w:val="single" w:sz="8" w:color="CFF0FC"/>
              <w:bottom w:val="single" w:sz="8" w:color="CFF0FC"/>
            </w:tcBorders>
            <w:shd w:val="clear" w:color="auto" w:fill="CFF0FC"/>
          </w:tcPr>
          <w:p>
            <w:pPr>
              <w:spacing w:after="0"/>
              <w:rPr>
                <w:sz w:val="18"/>
                <w:szCs w:val="18"/>
                <w:color w:val="auto"/>
              </w:rPr>
            </w:pPr>
          </w:p>
        </w:tc>
        <w:tc>
          <w:tcPr>
            <w:tcW w:w="140" w:type="dxa"/>
            <w:vAlign w:val="bottom"/>
            <w:tcBorders>
              <w:top w:val="single" w:sz="8" w:color="auto"/>
              <w:bottom w:val="single" w:sz="8" w:color="auto"/>
            </w:tcBorders>
            <w:shd w:val="clear" w:color="auto" w:fill="CFF0FC"/>
          </w:tcPr>
          <w:p>
            <w:pPr>
              <w:spacing w:after="0"/>
              <w:rPr>
                <w:sz w:val="18"/>
                <w:szCs w:val="18"/>
                <w:color w:val="auto"/>
              </w:rPr>
            </w:pPr>
          </w:p>
        </w:tc>
        <w:tc>
          <w:tcPr>
            <w:tcW w:w="10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27,697,985</w:t>
            </w:r>
          </w:p>
        </w:tc>
        <w:tc>
          <w:tcPr>
            <w:tcW w:w="240" w:type="dxa"/>
            <w:vAlign w:val="bottom"/>
            <w:tcBorders>
              <w:top w:val="single" w:sz="8" w:color="CFF0FC"/>
              <w:bottom w:val="single" w:sz="8" w:color="CFF0FC"/>
            </w:tcBorders>
            <w:shd w:val="clear" w:color="auto" w:fill="CFF0FC"/>
          </w:tcPr>
          <w:p>
            <w:pPr>
              <w:spacing w:after="0"/>
              <w:rPr>
                <w:sz w:val="18"/>
                <w:szCs w:val="18"/>
                <w:color w:val="auto"/>
              </w:rPr>
            </w:pPr>
          </w:p>
        </w:tc>
        <w:tc>
          <w:tcPr>
            <w:tcW w:w="20" w:type="dxa"/>
            <w:vAlign w:val="bottom"/>
            <w:tcBorders>
              <w:top w:val="single" w:sz="8" w:color="CFF0FC"/>
              <w:bottom w:val="single" w:sz="8" w:color="CFF0FC"/>
            </w:tcBorders>
            <w:shd w:val="clear" w:color="auto" w:fill="CFF0FC"/>
          </w:tcPr>
          <w:p>
            <w:pPr>
              <w:spacing w:after="0"/>
              <w:rPr>
                <w:sz w:val="18"/>
                <w:szCs w:val="18"/>
                <w:color w:val="auto"/>
              </w:rPr>
            </w:pPr>
          </w:p>
        </w:tc>
        <w:tc>
          <w:tcPr>
            <w:tcW w:w="180" w:type="dxa"/>
            <w:vAlign w:val="bottom"/>
            <w:tcBorders>
              <w:top w:val="single" w:sz="8" w:color="auto"/>
              <w:bottom w:val="single" w:sz="8" w:color="auto"/>
            </w:tcBorders>
            <w:shd w:val="clear" w:color="auto" w:fill="CFF0FC"/>
          </w:tcPr>
          <w:p>
            <w:pPr>
              <w:spacing w:after="0"/>
              <w:rPr>
                <w:sz w:val="18"/>
                <w:szCs w:val="18"/>
                <w:color w:val="auto"/>
              </w:rPr>
            </w:pPr>
          </w:p>
        </w:tc>
        <w:tc>
          <w:tcPr>
            <w:tcW w:w="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9"/>
              </w:rPr>
              <w:t>24,964,900</w:t>
            </w:r>
          </w:p>
        </w:tc>
        <w:tc>
          <w:tcPr>
            <w:tcW w:w="120" w:type="dxa"/>
            <w:vAlign w:val="bottom"/>
            <w:tcBorders>
              <w:top w:val="single" w:sz="8" w:color="CFF0FC"/>
              <w:bottom w:val="single" w:sz="8" w:color="CFF0FC"/>
            </w:tcBorders>
            <w:shd w:val="clear" w:color="auto" w:fill="CFF0FC"/>
          </w:tcPr>
          <w:p>
            <w:pPr>
              <w:spacing w:after="0"/>
              <w:rPr>
                <w:sz w:val="18"/>
                <w:szCs w:val="18"/>
                <w:color w:val="auto"/>
              </w:rPr>
            </w:pPr>
          </w:p>
        </w:tc>
      </w:tr>
      <w:tr>
        <w:trPr>
          <w:trHeight w:val="20"/>
        </w:trPr>
        <w:tc>
          <w:tcPr>
            <w:tcW w:w="57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10"/>
        </w:trPr>
        <w:tc>
          <w:tcPr>
            <w:tcW w:w="5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30"/>
        </w:trPr>
        <w:tc>
          <w:tcPr>
            <w:tcW w:w="5740" w:type="dxa"/>
            <w:vAlign w:val="bottom"/>
            <w:shd w:val="clear" w:color="auto" w:fill="CFF0FC"/>
          </w:tcPr>
          <w:p>
            <w:pPr>
              <w:spacing w:after="0"/>
              <w:rPr>
                <w:sz w:val="20"/>
                <w:szCs w:val="20"/>
                <w:color w:val="auto"/>
              </w:rPr>
            </w:pPr>
            <w:r>
              <w:rPr>
                <w:rFonts w:ascii="Arial" w:cs="Arial" w:eastAsia="Arial" w:hAnsi="Arial"/>
                <w:sz w:val="18"/>
                <w:szCs w:val="18"/>
                <w:color w:val="auto"/>
              </w:rPr>
              <w:t>Net loss</w:t>
            </w: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20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(11,775)</w:t>
            </w:r>
          </w:p>
        </w:tc>
        <w:tc>
          <w:tcPr>
            <w:tcW w:w="340" w:type="dxa"/>
            <w:vAlign w:val="bottom"/>
            <w:gridSpan w:val="2"/>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(9,409)</w:t>
            </w: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(12,711)</w:t>
            </w:r>
          </w:p>
        </w:tc>
        <w:tc>
          <w:tcPr>
            <w:tcW w:w="200" w:type="dxa"/>
            <w:vAlign w:val="bottom"/>
            <w:gridSpan w:val="2"/>
            <w:shd w:val="clear" w:color="auto" w:fill="CFF0FC"/>
          </w:tcPr>
          <w:p>
            <w:pPr>
              <w:jc w:val="right"/>
              <w:ind w:right="27"/>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(19,231)</w:t>
            </w:r>
          </w:p>
        </w:tc>
      </w:tr>
      <w:tr>
        <w:trPr>
          <w:trHeight w:val="229"/>
        </w:trPr>
        <w:tc>
          <w:tcPr>
            <w:tcW w:w="5740" w:type="dxa"/>
            <w:vAlign w:val="bottom"/>
          </w:tcPr>
          <w:p>
            <w:pPr>
              <w:spacing w:after="0"/>
              <w:rPr>
                <w:sz w:val="20"/>
                <w:szCs w:val="20"/>
                <w:color w:val="auto"/>
              </w:rPr>
            </w:pPr>
            <w:r>
              <w:rPr>
                <w:rFonts w:ascii="Arial" w:cs="Arial" w:eastAsia="Arial" w:hAnsi="Arial"/>
                <w:sz w:val="18"/>
                <w:szCs w:val="18"/>
                <w:color w:val="auto"/>
              </w:rPr>
              <w:t>Other comprehensive gain:</w:t>
            </w: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29"/>
        </w:trPr>
        <w:tc>
          <w:tcPr>
            <w:tcW w:w="57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Unrealized (loss) gain on marketable securities</w:t>
            </w:r>
          </w:p>
        </w:tc>
        <w:tc>
          <w:tcPr>
            <w:tcW w:w="10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(4)</w:t>
            </w:r>
          </w:p>
        </w:tc>
        <w:tc>
          <w:tcPr>
            <w:tcW w:w="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(2)</w:t>
            </w: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w:t>
            </w:r>
          </w:p>
        </w:tc>
        <w:tc>
          <w:tcPr>
            <w:tcW w:w="120" w:type="dxa"/>
            <w:vAlign w:val="bottom"/>
            <w:shd w:val="clear" w:color="auto" w:fill="CFF0FC"/>
          </w:tcPr>
          <w:p>
            <w:pPr>
              <w:spacing w:after="0"/>
              <w:rPr>
                <w:sz w:val="19"/>
                <w:szCs w:val="19"/>
                <w:color w:val="auto"/>
              </w:rPr>
            </w:pPr>
          </w:p>
        </w:tc>
      </w:tr>
      <w:tr>
        <w:trPr>
          <w:trHeight w:val="223"/>
        </w:trPr>
        <w:tc>
          <w:tcPr>
            <w:tcW w:w="5740" w:type="dxa"/>
            <w:vAlign w:val="bottom"/>
          </w:tcPr>
          <w:p>
            <w:pPr>
              <w:spacing w:after="0"/>
              <w:rPr>
                <w:sz w:val="20"/>
                <w:szCs w:val="20"/>
                <w:color w:val="auto"/>
              </w:rPr>
            </w:pPr>
            <w:r>
              <w:rPr>
                <w:rFonts w:ascii="Arial" w:cs="Arial" w:eastAsia="Arial" w:hAnsi="Arial"/>
                <w:sz w:val="18"/>
                <w:szCs w:val="18"/>
                <w:color w:val="auto"/>
              </w:rPr>
              <w:t>Comprehensive loss</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(11,779)</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(9,397)</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(12,713)</w:t>
            </w:r>
          </w:p>
        </w:tc>
        <w:tc>
          <w:tcPr>
            <w:tcW w:w="24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(19,219)</w:t>
            </w:r>
          </w:p>
        </w:tc>
        <w:tc>
          <w:tcPr>
            <w:tcW w:w="120" w:type="dxa"/>
            <w:vAlign w:val="bottom"/>
          </w:tcPr>
          <w:p>
            <w:pPr>
              <w:spacing w:after="0"/>
              <w:rPr>
                <w:sz w:val="19"/>
                <w:szCs w:val="19"/>
                <w:color w:val="auto"/>
              </w:rPr>
            </w:pPr>
          </w:p>
        </w:tc>
      </w:tr>
      <w:tr>
        <w:trPr>
          <w:trHeight w:val="20"/>
        </w:trPr>
        <w:tc>
          <w:tcPr>
            <w:tcW w:w="57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condensed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VERRICA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STATEMENTS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share amounts)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148"/>
        </w:trPr>
        <w:tc>
          <w:tcPr>
            <w:tcW w:w="25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4"/>
          </w:tcPr>
          <w:p>
            <w:pPr>
              <w:jc w:val="center"/>
              <w:ind w:right="220"/>
              <w:spacing w:after="0"/>
              <w:rPr>
                <w:sz w:val="20"/>
                <w:szCs w:val="20"/>
                <w:color w:val="auto"/>
              </w:rPr>
            </w:pPr>
            <w:r>
              <w:rPr>
                <w:rFonts w:ascii="Arial" w:cs="Arial" w:eastAsia="Arial" w:hAnsi="Arial"/>
                <w:sz w:val="12"/>
                <w:szCs w:val="12"/>
                <w:b w:val="1"/>
                <w:bCs w:val="1"/>
                <w:color w:val="auto"/>
                <w:w w:val="87"/>
              </w:rPr>
              <w:t>Accumulated</w:t>
            </w: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5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3"/>
          </w:tcPr>
          <w:p>
            <w:pPr>
              <w:jc w:val="center"/>
              <w:ind w:right="300"/>
              <w:spacing w:after="0"/>
              <w:rPr>
                <w:sz w:val="20"/>
                <w:szCs w:val="20"/>
                <w:color w:val="auto"/>
              </w:rPr>
            </w:pPr>
            <w:r>
              <w:rPr>
                <w:rFonts w:ascii="Arial" w:cs="Arial" w:eastAsia="Arial" w:hAnsi="Arial"/>
                <w:sz w:val="12"/>
                <w:szCs w:val="12"/>
                <w:b w:val="1"/>
                <w:bCs w:val="1"/>
                <w:color w:val="auto"/>
                <w:w w:val="93"/>
              </w:rPr>
              <w:t>Other</w:t>
            </w:r>
          </w:p>
        </w:tc>
        <w:tc>
          <w:tcPr>
            <w:tcW w:w="120" w:type="dxa"/>
            <w:vAlign w:val="bottom"/>
          </w:tcPr>
          <w:p>
            <w:pPr>
              <w:spacing w:after="0"/>
              <w:rPr>
                <w:sz w:val="12"/>
                <w:szCs w:val="12"/>
                <w:color w:val="auto"/>
              </w:rPr>
            </w:pPr>
          </w:p>
        </w:tc>
        <w:tc>
          <w:tcPr>
            <w:tcW w:w="640" w:type="dxa"/>
            <w:vAlign w:val="bottom"/>
          </w:tcPr>
          <w:p>
            <w:pPr>
              <w:jc w:val="right"/>
              <w:ind w:right="233"/>
              <w:spacing w:after="0"/>
              <w:rPr>
                <w:sz w:val="20"/>
                <w:szCs w:val="20"/>
                <w:color w:val="auto"/>
              </w:rPr>
            </w:pPr>
            <w:r>
              <w:rPr>
                <w:rFonts w:ascii="Arial" w:cs="Arial" w:eastAsia="Arial" w:hAnsi="Arial"/>
                <w:sz w:val="12"/>
                <w:szCs w:val="12"/>
                <w:b w:val="1"/>
                <w:bCs w:val="1"/>
                <w:color w:val="auto"/>
              </w:rPr>
              <w:t>Total</w:t>
            </w:r>
          </w:p>
        </w:tc>
        <w:tc>
          <w:tcPr>
            <w:tcW w:w="0" w:type="dxa"/>
            <w:vAlign w:val="bottom"/>
          </w:tcPr>
          <w:p>
            <w:pPr>
              <w:spacing w:after="0"/>
              <w:rPr>
                <w:sz w:val="1"/>
                <w:szCs w:val="1"/>
                <w:color w:val="auto"/>
              </w:rPr>
            </w:pPr>
          </w:p>
        </w:tc>
      </w:tr>
      <w:tr>
        <w:trPr>
          <w:trHeight w:val="143"/>
        </w:trPr>
        <w:tc>
          <w:tcPr>
            <w:tcW w:w="2520" w:type="dxa"/>
            <w:vAlign w:val="bottom"/>
          </w:tcPr>
          <w:p>
            <w:pPr>
              <w:spacing w:after="0"/>
              <w:rPr>
                <w:sz w:val="12"/>
                <w:szCs w:val="12"/>
                <w:color w:val="auto"/>
              </w:rPr>
            </w:pPr>
          </w:p>
        </w:tc>
        <w:tc>
          <w:tcPr>
            <w:tcW w:w="1640" w:type="dxa"/>
            <w:vAlign w:val="bottom"/>
            <w:tcBorders>
              <w:bottom w:val="single" w:sz="8" w:color="auto"/>
            </w:tcBorders>
            <w:gridSpan w:val="5"/>
          </w:tcPr>
          <w:p>
            <w:pPr>
              <w:jc w:val="right"/>
              <w:ind w:right="373"/>
              <w:spacing w:after="0"/>
              <w:rPr>
                <w:sz w:val="20"/>
                <w:szCs w:val="20"/>
                <w:color w:val="auto"/>
              </w:rPr>
            </w:pPr>
            <w:r>
              <w:rPr>
                <w:rFonts w:ascii="Arial" w:cs="Arial" w:eastAsia="Arial" w:hAnsi="Arial"/>
                <w:sz w:val="12"/>
                <w:szCs w:val="12"/>
                <w:b w:val="1"/>
                <w:bCs w:val="1"/>
                <w:color w:val="auto"/>
              </w:rPr>
              <w:t>Common Stock</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40" w:type="dxa"/>
            <w:vAlign w:val="bottom"/>
            <w:gridSpan w:val="3"/>
          </w:tcPr>
          <w:p>
            <w:pPr>
              <w:ind w:left="220"/>
              <w:spacing w:after="0"/>
              <w:rPr>
                <w:sz w:val="20"/>
                <w:szCs w:val="20"/>
                <w:color w:val="auto"/>
              </w:rPr>
            </w:pPr>
            <w:r>
              <w:rPr>
                <w:rFonts w:ascii="Arial" w:cs="Arial" w:eastAsia="Arial" w:hAnsi="Arial"/>
                <w:sz w:val="12"/>
                <w:szCs w:val="12"/>
                <w:b w:val="1"/>
                <w:bCs w:val="1"/>
                <w:color w:val="auto"/>
              </w:rPr>
              <w:t>Additional</w:t>
            </w:r>
          </w:p>
        </w:tc>
        <w:tc>
          <w:tcPr>
            <w:tcW w:w="800" w:type="dxa"/>
            <w:vAlign w:val="bottom"/>
            <w:gridSpan w:val="3"/>
          </w:tcPr>
          <w:p>
            <w:pPr>
              <w:ind w:left="20"/>
              <w:spacing w:after="0"/>
              <w:rPr>
                <w:sz w:val="20"/>
                <w:szCs w:val="20"/>
                <w:color w:val="auto"/>
              </w:rPr>
            </w:pPr>
            <w:r>
              <w:rPr>
                <w:rFonts w:ascii="Arial" w:cs="Arial" w:eastAsia="Arial" w:hAnsi="Arial"/>
                <w:sz w:val="12"/>
                <w:szCs w:val="12"/>
                <w:b w:val="1"/>
                <w:bCs w:val="1"/>
                <w:color w:val="auto"/>
              </w:rPr>
              <w:t>Subscription</w:t>
            </w:r>
          </w:p>
        </w:tc>
        <w:tc>
          <w:tcPr>
            <w:tcW w:w="120" w:type="dxa"/>
            <w:vAlign w:val="bottom"/>
          </w:tcPr>
          <w:p>
            <w:pPr>
              <w:spacing w:after="0"/>
              <w:rPr>
                <w:sz w:val="12"/>
                <w:szCs w:val="12"/>
                <w:color w:val="auto"/>
              </w:rPr>
            </w:pPr>
          </w:p>
        </w:tc>
        <w:tc>
          <w:tcPr>
            <w:tcW w:w="900" w:type="dxa"/>
            <w:vAlign w:val="bottom"/>
            <w:gridSpan w:val="4"/>
          </w:tcPr>
          <w:p>
            <w:pPr>
              <w:spacing w:after="0"/>
              <w:rPr>
                <w:sz w:val="20"/>
                <w:szCs w:val="20"/>
                <w:color w:val="auto"/>
              </w:rPr>
            </w:pPr>
            <w:r>
              <w:rPr>
                <w:rFonts w:ascii="Arial" w:cs="Arial" w:eastAsia="Arial" w:hAnsi="Arial"/>
                <w:sz w:val="12"/>
                <w:szCs w:val="12"/>
                <w:b w:val="1"/>
                <w:bCs w:val="1"/>
                <w:color w:val="auto"/>
              </w:rPr>
              <w:t>Accumulated</w:t>
            </w:r>
          </w:p>
        </w:tc>
        <w:tc>
          <w:tcPr>
            <w:tcW w:w="1580" w:type="dxa"/>
            <w:vAlign w:val="bottom"/>
            <w:tcBorders>
              <w:bottom w:val="single" w:sz="8" w:color="auto"/>
            </w:tcBorders>
            <w:gridSpan w:val="5"/>
          </w:tcPr>
          <w:p>
            <w:pPr>
              <w:ind w:left="400"/>
              <w:spacing w:after="0"/>
              <w:rPr>
                <w:sz w:val="20"/>
                <w:szCs w:val="20"/>
                <w:color w:val="auto"/>
              </w:rPr>
            </w:pPr>
            <w:r>
              <w:rPr>
                <w:rFonts w:ascii="Arial" w:cs="Arial" w:eastAsia="Arial" w:hAnsi="Arial"/>
                <w:sz w:val="12"/>
                <w:szCs w:val="12"/>
                <w:b w:val="1"/>
                <w:bCs w:val="1"/>
                <w:color w:val="auto"/>
              </w:rPr>
              <w:t>Treasury Stock</w:t>
            </w:r>
          </w:p>
        </w:tc>
        <w:tc>
          <w:tcPr>
            <w:tcW w:w="220" w:type="dxa"/>
            <w:vAlign w:val="bottom"/>
            <w:gridSpan w:val="2"/>
          </w:tcPr>
          <w:p>
            <w:pPr>
              <w:spacing w:after="0"/>
              <w:rPr>
                <w:sz w:val="12"/>
                <w:szCs w:val="12"/>
                <w:color w:val="auto"/>
              </w:rPr>
            </w:pPr>
          </w:p>
        </w:tc>
        <w:tc>
          <w:tcPr>
            <w:tcW w:w="1000" w:type="dxa"/>
            <w:vAlign w:val="bottom"/>
            <w:gridSpan w:val="4"/>
          </w:tcPr>
          <w:p>
            <w:pPr>
              <w:spacing w:after="0"/>
              <w:rPr>
                <w:sz w:val="20"/>
                <w:szCs w:val="20"/>
                <w:color w:val="auto"/>
              </w:rPr>
            </w:pPr>
            <w:r>
              <w:rPr>
                <w:rFonts w:ascii="Arial" w:cs="Arial" w:eastAsia="Arial" w:hAnsi="Arial"/>
                <w:sz w:val="12"/>
                <w:szCs w:val="12"/>
                <w:b w:val="1"/>
                <w:bCs w:val="1"/>
                <w:color w:val="auto"/>
              </w:rPr>
              <w:t>Comprehensive</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w w:val="90"/>
              </w:rPr>
              <w:t>Stockholders’</w:t>
            </w:r>
          </w:p>
        </w:tc>
        <w:tc>
          <w:tcPr>
            <w:tcW w:w="0" w:type="dxa"/>
            <w:vAlign w:val="bottom"/>
          </w:tcPr>
          <w:p>
            <w:pPr>
              <w:spacing w:after="0"/>
              <w:rPr>
                <w:sz w:val="1"/>
                <w:szCs w:val="1"/>
                <w:color w:val="auto"/>
              </w:rPr>
            </w:pPr>
          </w:p>
        </w:tc>
      </w:tr>
      <w:tr>
        <w:trPr>
          <w:trHeight w:val="223"/>
        </w:trPr>
        <w:tc>
          <w:tcPr>
            <w:tcW w:w="2520" w:type="dxa"/>
            <w:vAlign w:val="bottom"/>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2"/>
                <w:szCs w:val="12"/>
                <w:b w:val="1"/>
                <w:bCs w:val="1"/>
                <w:color w:val="auto"/>
                <w:w w:val="83"/>
              </w:rPr>
              <w:t>Shares Issued</w:t>
            </w:r>
          </w:p>
        </w:tc>
        <w:tc>
          <w:tcPr>
            <w:tcW w:w="220" w:type="dxa"/>
            <w:vAlign w:val="bottom"/>
            <w:gridSpan w:val="2"/>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ind w:right="93"/>
              <w:spacing w:after="0"/>
              <w:rPr>
                <w:sz w:val="20"/>
                <w:szCs w:val="20"/>
                <w:color w:val="auto"/>
              </w:rPr>
            </w:pPr>
            <w:r>
              <w:rPr>
                <w:rFonts w:ascii="Arial" w:cs="Arial" w:eastAsia="Arial" w:hAnsi="Arial"/>
                <w:sz w:val="12"/>
                <w:szCs w:val="12"/>
                <w:b w:val="1"/>
                <w:bCs w:val="1"/>
                <w:color w:val="auto"/>
                <w:w w:val="92"/>
              </w:rPr>
              <w:t>Amount</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ind w:right="213"/>
              <w:spacing w:after="0"/>
              <w:rPr>
                <w:sz w:val="20"/>
                <w:szCs w:val="20"/>
                <w:color w:val="auto"/>
              </w:rPr>
            </w:pPr>
            <w:r>
              <w:rPr>
                <w:rFonts w:ascii="Arial" w:cs="Arial" w:eastAsia="Arial" w:hAnsi="Arial"/>
                <w:sz w:val="12"/>
                <w:szCs w:val="12"/>
                <w:b w:val="1"/>
                <w:bCs w:val="1"/>
                <w:color w:val="auto"/>
              </w:rPr>
              <w:t>Paid-in Capital</w:t>
            </w:r>
          </w:p>
        </w:tc>
        <w:tc>
          <w:tcPr>
            <w:tcW w:w="200" w:type="dxa"/>
            <w:vAlign w:val="bottom"/>
            <w:gridSpan w:val="2"/>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ind w:right="13"/>
              <w:spacing w:after="0"/>
              <w:rPr>
                <w:sz w:val="20"/>
                <w:szCs w:val="20"/>
                <w:color w:val="auto"/>
              </w:rPr>
            </w:pPr>
            <w:r>
              <w:rPr>
                <w:rFonts w:ascii="Arial" w:cs="Arial" w:eastAsia="Arial" w:hAnsi="Arial"/>
                <w:sz w:val="12"/>
                <w:szCs w:val="12"/>
                <w:b w:val="1"/>
                <w:bCs w:val="1"/>
                <w:color w:val="auto"/>
                <w:w w:val="82"/>
              </w:rPr>
              <w:t>Receivable</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ind w:right="113"/>
              <w:spacing w:after="0"/>
              <w:rPr>
                <w:sz w:val="20"/>
                <w:szCs w:val="20"/>
                <w:color w:val="auto"/>
              </w:rPr>
            </w:pPr>
            <w:r>
              <w:rPr>
                <w:rFonts w:ascii="Arial" w:cs="Arial" w:eastAsia="Arial" w:hAnsi="Arial"/>
                <w:sz w:val="12"/>
                <w:szCs w:val="12"/>
                <w:b w:val="1"/>
                <w:bCs w:val="1"/>
                <w:color w:val="auto"/>
                <w:w w:val="98"/>
              </w:rPr>
              <w:t>Deficit</w:t>
            </w:r>
          </w:p>
        </w:tc>
        <w:tc>
          <w:tcPr>
            <w:tcW w:w="220" w:type="dxa"/>
            <w:vAlign w:val="bottom"/>
            <w:gridSpan w:val="2"/>
          </w:tcPr>
          <w:p>
            <w:pPr>
              <w:spacing w:after="0"/>
              <w:rPr>
                <w:sz w:val="19"/>
                <w:szCs w:val="19"/>
                <w:color w:val="auto"/>
              </w:rPr>
            </w:pPr>
          </w:p>
        </w:tc>
        <w:tc>
          <w:tcPr>
            <w:tcW w:w="680" w:type="dxa"/>
            <w:vAlign w:val="bottom"/>
            <w:tcBorders>
              <w:bottom w:val="single" w:sz="8" w:color="auto"/>
            </w:tcBorders>
          </w:tcPr>
          <w:p>
            <w:pPr>
              <w:jc w:val="right"/>
              <w:ind w:right="113"/>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ind w:left="80"/>
              <w:spacing w:after="0"/>
              <w:rPr>
                <w:sz w:val="20"/>
                <w:szCs w:val="20"/>
                <w:color w:val="auto"/>
              </w:rPr>
            </w:pPr>
            <w:r>
              <w:rPr>
                <w:rFonts w:ascii="Arial" w:cs="Arial" w:eastAsia="Arial" w:hAnsi="Arial"/>
                <w:sz w:val="12"/>
                <w:szCs w:val="12"/>
                <w:b w:val="1"/>
                <w:bCs w:val="1"/>
                <w:color w:val="auto"/>
              </w:rPr>
              <w:t>Cost</w:t>
            </w:r>
          </w:p>
        </w:tc>
        <w:tc>
          <w:tcPr>
            <w:tcW w:w="220" w:type="dxa"/>
            <w:vAlign w:val="bottom"/>
            <w:gridSpan w:val="2"/>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center"/>
              <w:ind w:right="13"/>
              <w:spacing w:after="0"/>
              <w:rPr>
                <w:sz w:val="20"/>
                <w:szCs w:val="20"/>
                <w:color w:val="auto"/>
              </w:rPr>
            </w:pPr>
            <w:r>
              <w:rPr>
                <w:rFonts w:ascii="Arial" w:cs="Arial" w:eastAsia="Arial" w:hAnsi="Arial"/>
                <w:sz w:val="12"/>
                <w:szCs w:val="12"/>
                <w:b w:val="1"/>
                <w:bCs w:val="1"/>
                <w:color w:val="auto"/>
                <w:w w:val="87"/>
              </w:rPr>
              <w:t>Gain (Loss)</w:t>
            </w:r>
          </w:p>
        </w:tc>
        <w:tc>
          <w:tcPr>
            <w:tcW w:w="220" w:type="dxa"/>
            <w:vAlign w:val="bottom"/>
            <w:gridSpan w:val="2"/>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ind w:right="173"/>
              <w:spacing w:after="0"/>
              <w:rPr>
                <w:sz w:val="20"/>
                <w:szCs w:val="20"/>
                <w:color w:val="auto"/>
              </w:rPr>
            </w:pPr>
            <w:r>
              <w:rPr>
                <w:rFonts w:ascii="Arial" w:cs="Arial" w:eastAsia="Arial" w:hAnsi="Arial"/>
                <w:sz w:val="12"/>
                <w:szCs w:val="12"/>
                <w:b w:val="1"/>
                <w:bCs w:val="1"/>
                <w:color w:val="auto"/>
              </w:rPr>
              <w:t>Equity</w:t>
            </w:r>
          </w:p>
        </w:tc>
        <w:tc>
          <w:tcPr>
            <w:tcW w:w="0" w:type="dxa"/>
            <w:vAlign w:val="bottom"/>
          </w:tcPr>
          <w:p>
            <w:pPr>
              <w:spacing w:after="0"/>
              <w:rPr>
                <w:sz w:val="1"/>
                <w:szCs w:val="1"/>
                <w:color w:val="auto"/>
              </w:rPr>
            </w:pPr>
          </w:p>
        </w:tc>
      </w:tr>
      <w:tr>
        <w:trPr>
          <w:trHeight w:val="156"/>
        </w:trPr>
        <w:tc>
          <w:tcPr>
            <w:tcW w:w="2520" w:type="dxa"/>
            <w:vAlign w:val="bottom"/>
          </w:tcPr>
          <w:p>
            <w:pPr>
              <w:spacing w:after="0"/>
              <w:rPr>
                <w:sz w:val="20"/>
                <w:szCs w:val="20"/>
                <w:color w:val="auto"/>
              </w:rPr>
            </w:pPr>
            <w:r>
              <w:rPr>
                <w:rFonts w:ascii="Arial" w:cs="Arial" w:eastAsia="Arial" w:hAnsi="Arial"/>
                <w:sz w:val="13"/>
                <w:szCs w:val="13"/>
                <w:b w:val="1"/>
                <w:bCs w:val="1"/>
                <w:color w:val="auto"/>
              </w:rPr>
              <w:t>January 1, 2021</w:t>
            </w:r>
          </w:p>
        </w:tc>
        <w:tc>
          <w:tcPr>
            <w:tcW w:w="720" w:type="dxa"/>
            <w:vAlign w:val="bottom"/>
          </w:tcPr>
          <w:p>
            <w:pPr>
              <w:jc w:val="right"/>
              <w:spacing w:after="0"/>
              <w:rPr>
                <w:sz w:val="20"/>
                <w:szCs w:val="20"/>
                <w:color w:val="auto"/>
              </w:rPr>
            </w:pPr>
            <w:r>
              <w:rPr>
                <w:rFonts w:ascii="Arial" w:cs="Arial" w:eastAsia="Arial" w:hAnsi="Arial"/>
                <w:sz w:val="13"/>
                <w:szCs w:val="13"/>
                <w:b w:val="1"/>
                <w:bCs w:val="1"/>
                <w:color w:val="auto"/>
              </w:rPr>
              <w:t>25,546,257</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jc w:val="right"/>
              <w:spacing w:after="0"/>
              <w:rPr>
                <w:sz w:val="20"/>
                <w:szCs w:val="20"/>
                <w:color w:val="auto"/>
              </w:rPr>
            </w:pPr>
            <w:r>
              <w:rPr>
                <w:rFonts w:ascii="Arial" w:cs="Arial" w:eastAsia="Arial" w:hAnsi="Arial"/>
                <w:sz w:val="13"/>
                <w:szCs w:val="13"/>
                <w:b w:val="1"/>
                <w:bCs w:val="1"/>
                <w:color w:val="auto"/>
                <w:w w:val="82"/>
              </w:rPr>
              <w:t>$</w:t>
            </w:r>
          </w:p>
        </w:tc>
        <w:tc>
          <w:tcPr>
            <w:tcW w:w="600" w:type="dxa"/>
            <w:vAlign w:val="bottom"/>
          </w:tcPr>
          <w:p>
            <w:pPr>
              <w:jc w:val="right"/>
              <w:spacing w:after="0"/>
              <w:rPr>
                <w:sz w:val="20"/>
                <w:szCs w:val="20"/>
                <w:color w:val="auto"/>
              </w:rPr>
            </w:pPr>
            <w:r>
              <w:rPr>
                <w:rFonts w:ascii="Arial" w:cs="Arial" w:eastAsia="Arial" w:hAnsi="Arial"/>
                <w:sz w:val="13"/>
                <w:szCs w:val="13"/>
                <w:b w:val="1"/>
                <w:bCs w:val="1"/>
                <w:color w:val="auto"/>
              </w:rPr>
              <w:t>3</w:t>
            </w:r>
          </w:p>
        </w:tc>
        <w:tc>
          <w:tcPr>
            <w:tcW w:w="360" w:type="dxa"/>
            <w:vAlign w:val="bottom"/>
            <w:gridSpan w:val="3"/>
          </w:tcPr>
          <w:p>
            <w:pPr>
              <w:jc w:val="right"/>
              <w:ind w:right="13"/>
              <w:spacing w:after="0"/>
              <w:rPr>
                <w:sz w:val="20"/>
                <w:szCs w:val="20"/>
                <w:color w:val="auto"/>
              </w:rPr>
            </w:pPr>
            <w:r>
              <w:rPr>
                <w:rFonts w:ascii="Arial" w:cs="Arial" w:eastAsia="Arial" w:hAnsi="Arial"/>
                <w:sz w:val="13"/>
                <w:szCs w:val="13"/>
                <w:b w:val="1"/>
                <w:bCs w:val="1"/>
                <w:color w:val="auto"/>
              </w:rPr>
              <w:t>$</w:t>
            </w:r>
          </w:p>
        </w:tc>
        <w:tc>
          <w:tcPr>
            <w:tcW w:w="1140" w:type="dxa"/>
            <w:vAlign w:val="bottom"/>
          </w:tcPr>
          <w:p>
            <w:pPr>
              <w:jc w:val="right"/>
              <w:spacing w:after="0"/>
              <w:rPr>
                <w:sz w:val="20"/>
                <w:szCs w:val="20"/>
                <w:color w:val="auto"/>
              </w:rPr>
            </w:pPr>
            <w:r>
              <w:rPr>
                <w:rFonts w:ascii="Arial" w:cs="Arial" w:eastAsia="Arial" w:hAnsi="Arial"/>
                <w:sz w:val="13"/>
                <w:szCs w:val="13"/>
                <w:b w:val="1"/>
                <w:bCs w:val="1"/>
                <w:color w:val="auto"/>
              </w:rPr>
              <w:t>136,868</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20"/>
                <w:szCs w:val="20"/>
                <w:color w:val="auto"/>
              </w:rPr>
            </w:pPr>
            <w:r>
              <w:rPr>
                <w:rFonts w:ascii="Arial" w:cs="Arial" w:eastAsia="Arial" w:hAnsi="Arial"/>
                <w:sz w:val="13"/>
                <w:szCs w:val="13"/>
                <w:b w:val="1"/>
                <w:bCs w:val="1"/>
                <w:color w:val="auto"/>
                <w:w w:val="82"/>
              </w:rPr>
              <w:t>$</w:t>
            </w:r>
          </w:p>
        </w:tc>
        <w:tc>
          <w:tcPr>
            <w:tcW w:w="720" w:type="dxa"/>
            <w:vAlign w:val="bottom"/>
            <w:gridSpan w:val="2"/>
          </w:tcPr>
          <w:p>
            <w:pPr>
              <w:jc w:val="right"/>
              <w:ind w:right="120"/>
              <w:spacing w:after="0"/>
              <w:rPr>
                <w:sz w:val="20"/>
                <w:szCs w:val="20"/>
                <w:color w:val="auto"/>
              </w:rPr>
            </w:pPr>
            <w:r>
              <w:rPr>
                <w:rFonts w:ascii="Arial" w:cs="Arial" w:eastAsia="Arial" w:hAnsi="Arial"/>
                <w:sz w:val="13"/>
                <w:szCs w:val="13"/>
                <w:b w:val="1"/>
                <w:bCs w:val="1"/>
                <w:color w:val="auto"/>
              </w:rPr>
              <w:t>—</w:t>
            </w:r>
          </w:p>
        </w:tc>
        <w:tc>
          <w:tcPr>
            <w:tcW w:w="240" w:type="dxa"/>
            <w:vAlign w:val="bottom"/>
            <w:gridSpan w:val="2"/>
          </w:tcPr>
          <w:p>
            <w:pPr>
              <w:ind w:left="120"/>
              <w:spacing w:after="0"/>
              <w:rPr>
                <w:sz w:val="20"/>
                <w:szCs w:val="20"/>
                <w:color w:val="auto"/>
              </w:rPr>
            </w:pPr>
            <w:r>
              <w:rPr>
                <w:rFonts w:ascii="Arial" w:cs="Arial" w:eastAsia="Arial" w:hAnsi="Arial"/>
                <w:sz w:val="13"/>
                <w:szCs w:val="13"/>
                <w:b w:val="1"/>
                <w:bCs w:val="1"/>
                <w:color w:val="auto"/>
              </w:rPr>
              <w:t>$</w:t>
            </w:r>
          </w:p>
        </w:tc>
        <w:tc>
          <w:tcPr>
            <w:tcW w:w="660" w:type="dxa"/>
            <w:vAlign w:val="bottom"/>
            <w:gridSpan w:val="2"/>
          </w:tcPr>
          <w:p>
            <w:pPr>
              <w:jc w:val="right"/>
              <w:ind w:right="60"/>
              <w:spacing w:after="0"/>
              <w:rPr>
                <w:sz w:val="20"/>
                <w:szCs w:val="20"/>
                <w:color w:val="auto"/>
              </w:rPr>
            </w:pPr>
            <w:r>
              <w:rPr>
                <w:rFonts w:ascii="Arial" w:cs="Arial" w:eastAsia="Arial" w:hAnsi="Arial"/>
                <w:sz w:val="13"/>
                <w:szCs w:val="13"/>
                <w:b w:val="1"/>
                <w:bCs w:val="1"/>
                <w:color w:val="auto"/>
              </w:rPr>
              <w:t>(103,886)</w:t>
            </w:r>
          </w:p>
        </w:tc>
        <w:tc>
          <w:tcPr>
            <w:tcW w:w="120" w:type="dxa"/>
            <w:vAlign w:val="bottom"/>
          </w:tcPr>
          <w:p>
            <w:pPr>
              <w:spacing w:after="0"/>
              <w:rPr>
                <w:sz w:val="13"/>
                <w:szCs w:val="13"/>
                <w:color w:val="auto"/>
              </w:rPr>
            </w:pPr>
          </w:p>
        </w:tc>
        <w:tc>
          <w:tcPr>
            <w:tcW w:w="680" w:type="dxa"/>
            <w:vAlign w:val="bottom"/>
          </w:tcPr>
          <w:p>
            <w:pPr>
              <w:jc w:val="right"/>
              <w:spacing w:after="0"/>
              <w:rPr>
                <w:sz w:val="20"/>
                <w:szCs w:val="20"/>
                <w:color w:val="auto"/>
              </w:rPr>
            </w:pPr>
            <w:r>
              <w:rPr>
                <w:rFonts w:ascii="Arial" w:cs="Arial" w:eastAsia="Arial" w:hAnsi="Arial"/>
                <w:sz w:val="13"/>
                <w:szCs w:val="13"/>
                <w:b w:val="1"/>
                <w:bCs w:val="1"/>
                <w:color w:val="auto"/>
              </w:rPr>
              <w:t>105,144</w:t>
            </w:r>
          </w:p>
        </w:tc>
        <w:tc>
          <w:tcPr>
            <w:tcW w:w="360" w:type="dxa"/>
            <w:vAlign w:val="bottom"/>
            <w:gridSpan w:val="3"/>
          </w:tcPr>
          <w:p>
            <w:pPr>
              <w:jc w:val="right"/>
              <w:ind w:right="80"/>
              <w:spacing w:after="0"/>
              <w:rPr>
                <w:sz w:val="20"/>
                <w:szCs w:val="20"/>
                <w:color w:val="auto"/>
              </w:rPr>
            </w:pPr>
            <w:r>
              <w:rPr>
                <w:rFonts w:ascii="Arial" w:cs="Arial" w:eastAsia="Arial" w:hAnsi="Arial"/>
                <w:sz w:val="13"/>
                <w:szCs w:val="13"/>
                <w:b w:val="1"/>
                <w:bCs w:val="1"/>
                <w:color w:val="auto"/>
              </w:rPr>
              <w:t>$</w:t>
            </w:r>
          </w:p>
        </w:tc>
        <w:tc>
          <w:tcPr>
            <w:tcW w:w="760" w:type="dxa"/>
            <w:vAlign w:val="bottom"/>
            <w:gridSpan w:val="3"/>
          </w:tcPr>
          <w:p>
            <w:pPr>
              <w:ind w:left="400"/>
              <w:spacing w:after="0"/>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20"/>
                <w:szCs w:val="20"/>
                <w:color w:val="auto"/>
              </w:rPr>
            </w:pPr>
            <w:r>
              <w:rPr>
                <w:rFonts w:ascii="Arial" w:cs="Arial" w:eastAsia="Arial" w:hAnsi="Arial"/>
                <w:sz w:val="13"/>
                <w:szCs w:val="13"/>
                <w:b w:val="1"/>
                <w:bCs w:val="1"/>
                <w:color w:val="auto"/>
                <w:w w:val="82"/>
              </w:rPr>
              <w:t>$</w:t>
            </w:r>
          </w:p>
        </w:tc>
        <w:tc>
          <w:tcPr>
            <w:tcW w:w="700" w:type="dxa"/>
            <w:vAlign w:val="bottom"/>
          </w:tcPr>
          <w:p>
            <w:pPr>
              <w:jc w:val="right"/>
              <w:spacing w:after="0"/>
              <w:rPr>
                <w:sz w:val="20"/>
                <w:szCs w:val="20"/>
                <w:color w:val="auto"/>
              </w:rPr>
            </w:pPr>
            <w:r>
              <w:rPr>
                <w:rFonts w:ascii="Arial" w:cs="Arial" w:eastAsia="Arial" w:hAnsi="Arial"/>
                <w:sz w:val="13"/>
                <w:szCs w:val="13"/>
                <w:b w:val="1"/>
                <w:bCs w:val="1"/>
                <w:color w:val="auto"/>
              </w:rPr>
              <w:t>1</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20"/>
                <w:szCs w:val="20"/>
                <w:color w:val="auto"/>
              </w:rPr>
            </w:pPr>
            <w:r>
              <w:rPr>
                <w:rFonts w:ascii="Arial" w:cs="Arial" w:eastAsia="Arial" w:hAnsi="Arial"/>
                <w:sz w:val="13"/>
                <w:szCs w:val="13"/>
                <w:b w:val="1"/>
                <w:bCs w:val="1"/>
                <w:color w:val="auto"/>
              </w:rPr>
              <w:t>$</w:t>
            </w:r>
          </w:p>
        </w:tc>
        <w:tc>
          <w:tcPr>
            <w:tcW w:w="640" w:type="dxa"/>
            <w:vAlign w:val="bottom"/>
          </w:tcPr>
          <w:p>
            <w:pPr>
              <w:jc w:val="right"/>
              <w:ind w:right="13"/>
              <w:spacing w:after="0"/>
              <w:rPr>
                <w:sz w:val="20"/>
                <w:szCs w:val="20"/>
                <w:color w:val="auto"/>
              </w:rPr>
            </w:pPr>
            <w:r>
              <w:rPr>
                <w:rFonts w:ascii="Arial" w:cs="Arial" w:eastAsia="Arial" w:hAnsi="Arial"/>
                <w:sz w:val="13"/>
                <w:szCs w:val="13"/>
                <w:b w:val="1"/>
                <w:bCs w:val="1"/>
                <w:color w:val="auto"/>
              </w:rPr>
              <w:t>32,986</w:t>
            </w:r>
          </w:p>
        </w:tc>
        <w:tc>
          <w:tcPr>
            <w:tcW w:w="0" w:type="dxa"/>
            <w:vAlign w:val="bottom"/>
          </w:tcPr>
          <w:p>
            <w:pPr>
              <w:spacing w:after="0"/>
              <w:rPr>
                <w:sz w:val="1"/>
                <w:szCs w:val="1"/>
                <w:color w:val="auto"/>
              </w:rPr>
            </w:pPr>
          </w:p>
        </w:tc>
      </w:tr>
      <w:tr>
        <w:trPr>
          <w:trHeight w:val="162"/>
        </w:trPr>
        <w:tc>
          <w:tcPr>
            <w:tcW w:w="2520" w:type="dxa"/>
            <w:vAlign w:val="bottom"/>
            <w:shd w:val="clear" w:color="auto" w:fill="CFF0FC"/>
          </w:tcPr>
          <w:p>
            <w:pPr>
              <w:spacing w:after="0"/>
              <w:rPr>
                <w:sz w:val="20"/>
                <w:szCs w:val="20"/>
                <w:color w:val="auto"/>
              </w:rPr>
            </w:pPr>
            <w:r>
              <w:rPr>
                <w:rFonts w:ascii="Arial" w:cs="Arial" w:eastAsia="Arial" w:hAnsi="Arial"/>
                <w:sz w:val="13"/>
                <w:szCs w:val="13"/>
                <w:color w:val="auto"/>
              </w:rPr>
              <w:t>Stock-based compensation</w:t>
            </w:r>
          </w:p>
        </w:tc>
        <w:tc>
          <w:tcPr>
            <w:tcW w:w="940" w:type="dxa"/>
            <w:vAlign w:val="bottom"/>
            <w:gridSpan w:val="3"/>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1,403</w:t>
            </w:r>
          </w:p>
        </w:tc>
        <w:tc>
          <w:tcPr>
            <w:tcW w:w="1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1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80" w:type="dxa"/>
            <w:vAlign w:val="bottom"/>
            <w:gridSpan w:val="3"/>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60" w:type="dxa"/>
            <w:vAlign w:val="bottom"/>
            <w:gridSpan w:val="3"/>
            <w:shd w:val="clear" w:color="auto" w:fill="CFF0FC"/>
          </w:tcPr>
          <w:p>
            <w:pPr>
              <w:ind w:left="40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4"/>
                <w:szCs w:val="14"/>
                <w:color w:val="auto"/>
              </w:rPr>
            </w:pPr>
          </w:p>
        </w:tc>
        <w:tc>
          <w:tcPr>
            <w:tcW w:w="920" w:type="dxa"/>
            <w:vAlign w:val="bottom"/>
            <w:gridSpan w:val="3"/>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640" w:type="dxa"/>
            <w:vAlign w:val="bottom"/>
            <w:tcBorders>
              <w:right w:val="single" w:sz="8" w:color="CFF0FC"/>
            </w:tcBorders>
            <w:shd w:val="clear" w:color="auto" w:fill="CFF0FC"/>
          </w:tcPr>
          <w:p>
            <w:pPr>
              <w:jc w:val="right"/>
              <w:ind w:right="13"/>
              <w:spacing w:after="0"/>
              <w:rPr>
                <w:sz w:val="20"/>
                <w:szCs w:val="20"/>
                <w:color w:val="auto"/>
              </w:rPr>
            </w:pPr>
            <w:r>
              <w:rPr>
                <w:rFonts w:ascii="Arial" w:cs="Arial" w:eastAsia="Arial" w:hAnsi="Arial"/>
                <w:sz w:val="13"/>
                <w:szCs w:val="13"/>
                <w:color w:val="auto"/>
              </w:rPr>
              <w:t>1,403</w:t>
            </w:r>
          </w:p>
        </w:tc>
        <w:tc>
          <w:tcPr>
            <w:tcW w:w="0" w:type="dxa"/>
            <w:vAlign w:val="bottom"/>
          </w:tcPr>
          <w:p>
            <w:pPr>
              <w:spacing w:after="0"/>
              <w:rPr>
                <w:sz w:val="1"/>
                <w:szCs w:val="1"/>
                <w:color w:val="auto"/>
              </w:rPr>
            </w:pPr>
          </w:p>
        </w:tc>
      </w:tr>
      <w:tr>
        <w:trPr>
          <w:trHeight w:val="151"/>
        </w:trPr>
        <w:tc>
          <w:tcPr>
            <w:tcW w:w="2520" w:type="dxa"/>
            <w:vAlign w:val="bottom"/>
          </w:tcPr>
          <w:p>
            <w:pPr>
              <w:spacing w:after="0"/>
              <w:rPr>
                <w:sz w:val="20"/>
                <w:szCs w:val="20"/>
                <w:color w:val="auto"/>
              </w:rPr>
            </w:pPr>
            <w:r>
              <w:rPr>
                <w:rFonts w:ascii="Arial" w:cs="Arial" w:eastAsia="Arial" w:hAnsi="Arial"/>
                <w:sz w:val="13"/>
                <w:szCs w:val="13"/>
                <w:color w:val="auto"/>
              </w:rPr>
              <w:t>Issuance of common stock, net of issuance</w:t>
            </w: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9"/>
        </w:trPr>
        <w:tc>
          <w:tcPr>
            <w:tcW w:w="2520" w:type="dxa"/>
            <w:vAlign w:val="bottom"/>
          </w:tcPr>
          <w:p>
            <w:pPr>
              <w:spacing w:after="0"/>
              <w:rPr>
                <w:sz w:val="20"/>
                <w:szCs w:val="20"/>
                <w:color w:val="auto"/>
              </w:rPr>
            </w:pPr>
            <w:r>
              <w:rPr>
                <w:rFonts w:ascii="Arial" w:cs="Arial" w:eastAsia="Arial" w:hAnsi="Arial"/>
                <w:sz w:val="13"/>
                <w:szCs w:val="13"/>
                <w:color w:val="auto"/>
              </w:rPr>
              <w:t>costs</w:t>
            </w:r>
          </w:p>
        </w:tc>
        <w:tc>
          <w:tcPr>
            <w:tcW w:w="720" w:type="dxa"/>
            <w:vAlign w:val="bottom"/>
          </w:tcPr>
          <w:p>
            <w:pPr>
              <w:jc w:val="right"/>
              <w:spacing w:after="0"/>
              <w:rPr>
                <w:sz w:val="20"/>
                <w:szCs w:val="20"/>
                <w:color w:val="auto"/>
              </w:rPr>
            </w:pPr>
            <w:r>
              <w:rPr>
                <w:rFonts w:ascii="Arial" w:cs="Arial" w:eastAsia="Arial" w:hAnsi="Arial"/>
                <w:sz w:val="13"/>
                <w:szCs w:val="13"/>
                <w:color w:val="auto"/>
              </w:rPr>
              <w:t>2,033,899</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40" w:type="dxa"/>
            <w:vAlign w:val="bottom"/>
          </w:tcPr>
          <w:p>
            <w:pPr>
              <w:jc w:val="right"/>
              <w:spacing w:after="0"/>
              <w:rPr>
                <w:sz w:val="20"/>
                <w:szCs w:val="20"/>
                <w:color w:val="auto"/>
              </w:rPr>
            </w:pPr>
            <w:r>
              <w:rPr>
                <w:rFonts w:ascii="Arial" w:cs="Arial" w:eastAsia="Arial" w:hAnsi="Arial"/>
                <w:sz w:val="13"/>
                <w:szCs w:val="13"/>
                <w:color w:val="auto"/>
              </w:rPr>
              <w:t>28,115</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gridSpan w:val="3"/>
          </w:tcPr>
          <w:p>
            <w:pPr>
              <w:jc w:val="right"/>
              <w:ind w:right="240"/>
              <w:spacing w:after="0"/>
              <w:rPr>
                <w:sz w:val="20"/>
                <w:szCs w:val="20"/>
                <w:color w:val="auto"/>
              </w:rPr>
            </w:pPr>
            <w:r>
              <w:rPr>
                <w:rFonts w:ascii="Arial" w:cs="Arial" w:eastAsia="Arial" w:hAnsi="Arial"/>
                <w:sz w:val="13"/>
                <w:szCs w:val="13"/>
                <w:color w:val="auto"/>
              </w:rPr>
              <w:t>—</w:t>
            </w:r>
          </w:p>
        </w:tc>
        <w:tc>
          <w:tcPr>
            <w:tcW w:w="680" w:type="dxa"/>
            <w:vAlign w:val="bottom"/>
          </w:tcPr>
          <w:p>
            <w:pPr>
              <w:jc w:val="right"/>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gridSpan w:val="3"/>
          </w:tcPr>
          <w:p>
            <w:pPr>
              <w:ind w:left="4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3"/>
                <w:szCs w:val="13"/>
                <w:color w:val="auto"/>
              </w:rPr>
            </w:pPr>
          </w:p>
        </w:tc>
        <w:tc>
          <w:tcPr>
            <w:tcW w:w="920" w:type="dxa"/>
            <w:vAlign w:val="bottom"/>
            <w:gridSpan w:val="3"/>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3"/>
                <w:szCs w:val="13"/>
                <w:color w:val="auto"/>
              </w:rPr>
            </w:pPr>
          </w:p>
        </w:tc>
        <w:tc>
          <w:tcPr>
            <w:tcW w:w="640" w:type="dxa"/>
            <w:vAlign w:val="bottom"/>
          </w:tcPr>
          <w:p>
            <w:pPr>
              <w:jc w:val="right"/>
              <w:ind w:right="13"/>
              <w:spacing w:after="0"/>
              <w:rPr>
                <w:sz w:val="20"/>
                <w:szCs w:val="20"/>
                <w:color w:val="auto"/>
              </w:rPr>
            </w:pPr>
            <w:r>
              <w:rPr>
                <w:rFonts w:ascii="Arial" w:cs="Arial" w:eastAsia="Arial" w:hAnsi="Arial"/>
                <w:sz w:val="13"/>
                <w:szCs w:val="13"/>
                <w:color w:val="auto"/>
              </w:rPr>
              <w:t>28,115</w:t>
            </w:r>
          </w:p>
        </w:tc>
        <w:tc>
          <w:tcPr>
            <w:tcW w:w="0" w:type="dxa"/>
            <w:vAlign w:val="bottom"/>
          </w:tcPr>
          <w:p>
            <w:pPr>
              <w:spacing w:after="0"/>
              <w:rPr>
                <w:sz w:val="1"/>
                <w:szCs w:val="1"/>
                <w:color w:val="auto"/>
              </w:rPr>
            </w:pPr>
          </w:p>
        </w:tc>
      </w:tr>
      <w:tr>
        <w:trPr>
          <w:trHeight w:val="162"/>
        </w:trPr>
        <w:tc>
          <w:tcPr>
            <w:tcW w:w="2520" w:type="dxa"/>
            <w:vAlign w:val="bottom"/>
            <w:shd w:val="clear" w:color="auto" w:fill="CFF0FC"/>
          </w:tcPr>
          <w:p>
            <w:pPr>
              <w:spacing w:after="0"/>
              <w:rPr>
                <w:sz w:val="20"/>
                <w:szCs w:val="20"/>
                <w:color w:val="auto"/>
              </w:rPr>
            </w:pPr>
            <w:r>
              <w:rPr>
                <w:rFonts w:ascii="Arial" w:cs="Arial" w:eastAsia="Arial" w:hAnsi="Arial"/>
                <w:sz w:val="13"/>
                <w:szCs w:val="13"/>
                <w:color w:val="auto"/>
              </w:rPr>
              <w:t>Exercise of stock options</w:t>
            </w:r>
          </w:p>
        </w:tc>
        <w:tc>
          <w:tcPr>
            <w:tcW w:w="7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15,708</w:t>
            </w: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240</w:t>
            </w:r>
          </w:p>
        </w:tc>
        <w:tc>
          <w:tcPr>
            <w:tcW w:w="1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1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80" w:type="dxa"/>
            <w:vAlign w:val="bottom"/>
            <w:gridSpan w:val="3"/>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60" w:type="dxa"/>
            <w:vAlign w:val="bottom"/>
            <w:gridSpan w:val="3"/>
            <w:shd w:val="clear" w:color="auto" w:fill="CFF0FC"/>
          </w:tcPr>
          <w:p>
            <w:pPr>
              <w:ind w:left="40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4"/>
                <w:szCs w:val="14"/>
                <w:color w:val="auto"/>
              </w:rPr>
            </w:pPr>
          </w:p>
        </w:tc>
        <w:tc>
          <w:tcPr>
            <w:tcW w:w="920" w:type="dxa"/>
            <w:vAlign w:val="bottom"/>
            <w:gridSpan w:val="3"/>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640" w:type="dxa"/>
            <w:vAlign w:val="bottom"/>
            <w:tcBorders>
              <w:right w:val="single" w:sz="8" w:color="CFF0FC"/>
            </w:tcBorders>
            <w:shd w:val="clear" w:color="auto" w:fill="CFF0FC"/>
          </w:tcPr>
          <w:p>
            <w:pPr>
              <w:jc w:val="right"/>
              <w:ind w:right="13"/>
              <w:spacing w:after="0"/>
              <w:rPr>
                <w:sz w:val="20"/>
                <w:szCs w:val="20"/>
                <w:color w:val="auto"/>
              </w:rPr>
            </w:pPr>
            <w:r>
              <w:rPr>
                <w:rFonts w:ascii="Arial" w:cs="Arial" w:eastAsia="Arial" w:hAnsi="Arial"/>
                <w:sz w:val="13"/>
                <w:szCs w:val="13"/>
                <w:color w:val="auto"/>
              </w:rPr>
              <w:t>240</w:t>
            </w:r>
          </w:p>
        </w:tc>
        <w:tc>
          <w:tcPr>
            <w:tcW w:w="0" w:type="dxa"/>
            <w:vAlign w:val="bottom"/>
          </w:tcPr>
          <w:p>
            <w:pPr>
              <w:spacing w:after="0"/>
              <w:rPr>
                <w:sz w:val="1"/>
                <w:szCs w:val="1"/>
                <w:color w:val="auto"/>
              </w:rPr>
            </w:pPr>
          </w:p>
        </w:tc>
      </w:tr>
      <w:tr>
        <w:trPr>
          <w:trHeight w:val="162"/>
        </w:trPr>
        <w:tc>
          <w:tcPr>
            <w:tcW w:w="2520" w:type="dxa"/>
            <w:vAlign w:val="bottom"/>
          </w:tcPr>
          <w:p>
            <w:pPr>
              <w:spacing w:after="0"/>
              <w:rPr>
                <w:sz w:val="20"/>
                <w:szCs w:val="20"/>
                <w:color w:val="auto"/>
              </w:rPr>
            </w:pPr>
            <w:r>
              <w:rPr>
                <w:rFonts w:ascii="Arial" w:cs="Arial" w:eastAsia="Arial" w:hAnsi="Arial"/>
                <w:sz w:val="13"/>
                <w:szCs w:val="13"/>
                <w:color w:val="auto"/>
              </w:rPr>
              <w:t>Net loss</w:t>
            </w:r>
          </w:p>
        </w:tc>
        <w:tc>
          <w:tcPr>
            <w:tcW w:w="940" w:type="dxa"/>
            <w:vAlign w:val="bottom"/>
            <w:gridSpan w:val="3"/>
          </w:tcPr>
          <w:p>
            <w:pPr>
              <w:jc w:val="right"/>
              <w:ind w:right="22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40" w:type="dxa"/>
            <w:vAlign w:val="bottom"/>
            <w:gridSpan w:val="3"/>
          </w:tcPr>
          <w:p>
            <w:pPr>
              <w:jc w:val="right"/>
              <w:ind w:right="22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3"/>
                <w:szCs w:val="13"/>
                <w:color w:val="auto"/>
              </w:rPr>
              <w:t>(936)</w:t>
            </w: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gridSpan w:val="3"/>
          </w:tcPr>
          <w:p>
            <w:pPr>
              <w:ind w:left="4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920" w:type="dxa"/>
            <w:vAlign w:val="bottom"/>
            <w:gridSpan w:val="3"/>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3"/>
                <w:szCs w:val="13"/>
                <w:color w:val="auto"/>
              </w:rPr>
              <w:t>(936)</w:t>
            </w:r>
          </w:p>
        </w:tc>
        <w:tc>
          <w:tcPr>
            <w:tcW w:w="0" w:type="dxa"/>
            <w:vAlign w:val="bottom"/>
          </w:tcPr>
          <w:p>
            <w:pPr>
              <w:spacing w:after="0"/>
              <w:rPr>
                <w:sz w:val="1"/>
                <w:szCs w:val="1"/>
                <w:color w:val="auto"/>
              </w:rPr>
            </w:pPr>
          </w:p>
        </w:tc>
      </w:tr>
      <w:tr>
        <w:trPr>
          <w:trHeight w:val="162"/>
        </w:trPr>
        <w:tc>
          <w:tcPr>
            <w:tcW w:w="2520" w:type="dxa"/>
            <w:vAlign w:val="bottom"/>
            <w:shd w:val="clear" w:color="auto" w:fill="CFF0FC"/>
          </w:tcPr>
          <w:p>
            <w:pPr>
              <w:spacing w:after="0"/>
              <w:rPr>
                <w:sz w:val="20"/>
                <w:szCs w:val="20"/>
                <w:color w:val="auto"/>
              </w:rPr>
            </w:pPr>
            <w:r>
              <w:rPr>
                <w:rFonts w:ascii="Arial" w:cs="Arial" w:eastAsia="Arial" w:hAnsi="Arial"/>
                <w:sz w:val="13"/>
                <w:szCs w:val="13"/>
                <w:color w:val="auto"/>
              </w:rPr>
              <w:t>Unrealized loss on marketable securities</w:t>
            </w:r>
          </w:p>
        </w:tc>
        <w:tc>
          <w:tcPr>
            <w:tcW w:w="7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100" w:type="dxa"/>
            <w:vAlign w:val="bottom"/>
            <w:tcBorders>
              <w:bottom w:val="single" w:sz="8" w:color="auto"/>
            </w:tcBorders>
            <w:shd w:val="clear" w:color="auto" w:fill="CFF0FC"/>
          </w:tcPr>
          <w:p>
            <w:pPr>
              <w:spacing w:after="0"/>
              <w:rPr>
                <w:sz w:val="14"/>
                <w:szCs w:val="14"/>
                <w:color w:val="auto"/>
              </w:rPr>
            </w:pPr>
          </w:p>
        </w:tc>
        <w:tc>
          <w:tcPr>
            <w:tcW w:w="100" w:type="dxa"/>
            <w:vAlign w:val="bottom"/>
            <w:tcBorders>
              <w:bottom w:val="single" w:sz="8" w:color="auto"/>
            </w:tcBorders>
            <w:shd w:val="clear" w:color="auto" w:fill="CFF0FC"/>
          </w:tcPr>
          <w:p>
            <w:pPr>
              <w:spacing w:after="0"/>
              <w:rPr>
                <w:sz w:val="14"/>
                <w:szCs w:val="14"/>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4"/>
                <w:szCs w:val="14"/>
                <w:color w:val="auto"/>
              </w:rPr>
            </w:pPr>
          </w:p>
        </w:tc>
        <w:tc>
          <w:tcPr>
            <w:tcW w:w="100" w:type="dxa"/>
            <w:vAlign w:val="bottom"/>
            <w:tcBorders>
              <w:bottom w:val="single" w:sz="8" w:color="auto"/>
            </w:tcBorders>
            <w:shd w:val="clear" w:color="auto" w:fill="CFF0FC"/>
          </w:tcPr>
          <w:p>
            <w:pPr>
              <w:spacing w:after="0"/>
              <w:rPr>
                <w:sz w:val="14"/>
                <w:szCs w:val="14"/>
                <w:color w:val="auto"/>
              </w:rPr>
            </w:pPr>
          </w:p>
        </w:tc>
        <w:tc>
          <w:tcPr>
            <w:tcW w:w="160" w:type="dxa"/>
            <w:vAlign w:val="bottom"/>
            <w:tcBorders>
              <w:bottom w:val="single" w:sz="8" w:color="auto"/>
            </w:tcBorders>
            <w:shd w:val="clear" w:color="auto" w:fill="CFF0FC"/>
          </w:tcPr>
          <w:p>
            <w:pPr>
              <w:spacing w:after="0"/>
              <w:rPr>
                <w:sz w:val="14"/>
                <w:szCs w:val="14"/>
                <w:color w:val="auto"/>
              </w:rPr>
            </w:pPr>
          </w:p>
        </w:tc>
        <w:tc>
          <w:tcPr>
            <w:tcW w:w="1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4"/>
                <w:szCs w:val="14"/>
                <w:color w:val="auto"/>
              </w:rPr>
            </w:pPr>
          </w:p>
        </w:tc>
        <w:tc>
          <w:tcPr>
            <w:tcW w:w="100" w:type="dxa"/>
            <w:vAlign w:val="bottom"/>
            <w:tcBorders>
              <w:bottom w:val="single" w:sz="8" w:color="auto"/>
            </w:tcBorders>
            <w:shd w:val="clear" w:color="auto" w:fill="CFF0FC"/>
          </w:tcPr>
          <w:p>
            <w:pPr>
              <w:spacing w:after="0"/>
              <w:rPr>
                <w:sz w:val="14"/>
                <w:szCs w:val="14"/>
                <w:color w:val="auto"/>
              </w:rPr>
            </w:pPr>
          </w:p>
        </w:tc>
        <w:tc>
          <w:tcPr>
            <w:tcW w:w="80" w:type="dxa"/>
            <w:vAlign w:val="bottom"/>
            <w:tcBorders>
              <w:bottom w:val="single" w:sz="8" w:color="auto"/>
            </w:tcBorders>
            <w:shd w:val="clear" w:color="auto" w:fill="CFF0FC"/>
          </w:tcPr>
          <w:p>
            <w:pPr>
              <w:spacing w:after="0"/>
              <w:rPr>
                <w:sz w:val="14"/>
                <w:szCs w:val="14"/>
                <w:color w:val="auto"/>
              </w:rPr>
            </w:pPr>
          </w:p>
        </w:tc>
        <w:tc>
          <w:tcPr>
            <w:tcW w:w="6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4"/>
                <w:szCs w:val="14"/>
                <w:color w:val="auto"/>
              </w:rPr>
            </w:pPr>
          </w:p>
        </w:tc>
        <w:tc>
          <w:tcPr>
            <w:tcW w:w="120" w:type="dxa"/>
            <w:vAlign w:val="bottom"/>
            <w:tcBorders>
              <w:bottom w:val="single" w:sz="8" w:color="auto"/>
            </w:tcBorders>
            <w:shd w:val="clear" w:color="auto" w:fill="CFF0FC"/>
          </w:tcPr>
          <w:p>
            <w:pPr>
              <w:spacing w:after="0"/>
              <w:rPr>
                <w:sz w:val="14"/>
                <w:szCs w:val="14"/>
                <w:color w:val="auto"/>
              </w:rPr>
            </w:pPr>
          </w:p>
        </w:tc>
        <w:tc>
          <w:tcPr>
            <w:tcW w:w="120" w:type="dxa"/>
            <w:vAlign w:val="bottom"/>
            <w:tcBorders>
              <w:bottom w:val="single" w:sz="8" w:color="auto"/>
            </w:tcBorders>
            <w:shd w:val="clear" w:color="auto" w:fill="CFF0FC"/>
          </w:tcPr>
          <w:p>
            <w:pPr>
              <w:spacing w:after="0"/>
              <w:rPr>
                <w:sz w:val="14"/>
                <w:szCs w:val="14"/>
                <w:color w:val="auto"/>
              </w:rPr>
            </w:pPr>
          </w:p>
        </w:tc>
        <w:tc>
          <w:tcPr>
            <w:tcW w:w="5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4"/>
                <w:szCs w:val="14"/>
                <w:color w:val="auto"/>
              </w:rPr>
            </w:pPr>
          </w:p>
        </w:tc>
        <w:tc>
          <w:tcPr>
            <w:tcW w:w="120" w:type="dxa"/>
            <w:vAlign w:val="bottom"/>
            <w:tcBorders>
              <w:bottom w:val="single" w:sz="8" w:color="auto"/>
            </w:tcBorders>
            <w:shd w:val="clear" w:color="auto" w:fill="CFF0FC"/>
          </w:tcPr>
          <w:p>
            <w:pPr>
              <w:spacing w:after="0"/>
              <w:rPr>
                <w:sz w:val="14"/>
                <w:szCs w:val="14"/>
                <w:color w:val="auto"/>
              </w:rPr>
            </w:pPr>
          </w:p>
        </w:tc>
        <w:tc>
          <w:tcPr>
            <w:tcW w:w="6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100" w:type="dxa"/>
            <w:vAlign w:val="bottom"/>
            <w:tcBorders>
              <w:bottom w:val="single" w:sz="8" w:color="auto"/>
            </w:tcBorders>
            <w:shd w:val="clear" w:color="auto" w:fill="CFF0FC"/>
          </w:tcPr>
          <w:p>
            <w:pPr>
              <w:spacing w:after="0"/>
              <w:rPr>
                <w:sz w:val="14"/>
                <w:szCs w:val="14"/>
                <w:color w:val="auto"/>
              </w:rPr>
            </w:pPr>
          </w:p>
        </w:tc>
        <w:tc>
          <w:tcPr>
            <w:tcW w:w="140" w:type="dxa"/>
            <w:vAlign w:val="bottom"/>
            <w:tcBorders>
              <w:bottom w:val="single" w:sz="8" w:color="auto"/>
            </w:tcBorders>
            <w:shd w:val="clear" w:color="auto" w:fill="CFF0FC"/>
          </w:tcPr>
          <w:p>
            <w:pPr>
              <w:spacing w:after="0"/>
              <w:rPr>
                <w:sz w:val="14"/>
                <w:szCs w:val="14"/>
                <w:color w:val="auto"/>
              </w:rPr>
            </w:pPr>
          </w:p>
        </w:tc>
        <w:tc>
          <w:tcPr>
            <w:tcW w:w="540" w:type="dxa"/>
            <w:vAlign w:val="bottom"/>
            <w:tcBorders>
              <w:bottom w:val="single" w:sz="8" w:color="auto"/>
            </w:tcBorders>
            <w:shd w:val="clear" w:color="auto" w:fill="CFF0FC"/>
          </w:tcPr>
          <w:p>
            <w:pPr>
              <w:ind w:left="400"/>
              <w:spacing w:after="0"/>
              <w:rPr>
                <w:sz w:val="20"/>
                <w:szCs w:val="20"/>
                <w:color w:val="auto"/>
              </w:rPr>
            </w:pPr>
            <w:r>
              <w:rPr>
                <w:rFonts w:ascii="Arial" w:cs="Arial" w:eastAsia="Arial" w:hAnsi="Arial"/>
                <w:sz w:val="13"/>
                <w:szCs w:val="13"/>
                <w:color w:val="auto"/>
                <w:w w:val="91"/>
              </w:rPr>
              <w:t>—</w:t>
            </w:r>
          </w:p>
        </w:tc>
        <w:tc>
          <w:tcPr>
            <w:tcW w:w="120" w:type="dxa"/>
            <w:vAlign w:val="bottom"/>
            <w:shd w:val="clear" w:color="auto" w:fill="CFF0FC"/>
          </w:tcPr>
          <w:p>
            <w:pPr>
              <w:spacing w:after="0"/>
              <w:rPr>
                <w:sz w:val="14"/>
                <w:szCs w:val="14"/>
                <w:color w:val="auto"/>
              </w:rPr>
            </w:pPr>
          </w:p>
        </w:tc>
        <w:tc>
          <w:tcPr>
            <w:tcW w:w="100" w:type="dxa"/>
            <w:vAlign w:val="bottom"/>
            <w:tcBorders>
              <w:bottom w:val="single" w:sz="8" w:color="auto"/>
            </w:tcBorders>
            <w:shd w:val="clear" w:color="auto" w:fill="CFF0FC"/>
          </w:tcPr>
          <w:p>
            <w:pPr>
              <w:spacing w:after="0"/>
              <w:rPr>
                <w:sz w:val="14"/>
                <w:szCs w:val="14"/>
                <w:color w:val="auto"/>
              </w:rPr>
            </w:pPr>
          </w:p>
        </w:tc>
        <w:tc>
          <w:tcPr>
            <w:tcW w:w="80" w:type="dxa"/>
            <w:vAlign w:val="bottom"/>
            <w:tcBorders>
              <w:bottom w:val="single" w:sz="8" w:color="auto"/>
            </w:tcBorders>
            <w:shd w:val="clear" w:color="auto" w:fill="CFF0FC"/>
          </w:tcPr>
          <w:p>
            <w:pPr>
              <w:spacing w:after="0"/>
              <w:rPr>
                <w:sz w:val="14"/>
                <w:szCs w:val="14"/>
                <w:color w:val="auto"/>
              </w:rPr>
            </w:pPr>
          </w:p>
        </w:tc>
        <w:tc>
          <w:tcPr>
            <w:tcW w:w="7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3"/>
                <w:szCs w:val="13"/>
                <w:color w:val="auto"/>
              </w:rPr>
              <w:t>2</w:t>
            </w:r>
          </w:p>
        </w:tc>
        <w:tc>
          <w:tcPr>
            <w:tcW w:w="120" w:type="dxa"/>
            <w:vAlign w:val="bottom"/>
            <w:shd w:val="clear" w:color="auto" w:fill="CFF0FC"/>
          </w:tcPr>
          <w:p>
            <w:pPr>
              <w:spacing w:after="0"/>
              <w:rPr>
                <w:sz w:val="14"/>
                <w:szCs w:val="14"/>
                <w:color w:val="auto"/>
              </w:rPr>
            </w:pPr>
          </w:p>
        </w:tc>
        <w:tc>
          <w:tcPr>
            <w:tcW w:w="100" w:type="dxa"/>
            <w:vAlign w:val="bottom"/>
            <w:tcBorders>
              <w:bottom w:val="single" w:sz="8" w:color="auto"/>
            </w:tcBorders>
            <w:shd w:val="clear" w:color="auto" w:fill="CFF0FC"/>
          </w:tcPr>
          <w:p>
            <w:pPr>
              <w:spacing w:after="0"/>
              <w:rPr>
                <w:sz w:val="14"/>
                <w:szCs w:val="14"/>
                <w:color w:val="auto"/>
              </w:rPr>
            </w:pPr>
          </w:p>
        </w:tc>
        <w:tc>
          <w:tcPr>
            <w:tcW w:w="120" w:type="dxa"/>
            <w:vAlign w:val="bottom"/>
            <w:tcBorders>
              <w:bottom w:val="single" w:sz="8" w:color="auto"/>
            </w:tcBorders>
            <w:shd w:val="clear" w:color="auto" w:fill="CFF0FC"/>
          </w:tcPr>
          <w:p>
            <w:pPr>
              <w:spacing w:after="0"/>
              <w:rPr>
                <w:sz w:val="14"/>
                <w:szCs w:val="14"/>
                <w:color w:val="auto"/>
              </w:rPr>
            </w:pPr>
          </w:p>
        </w:tc>
        <w:tc>
          <w:tcPr>
            <w:tcW w:w="640" w:type="dxa"/>
            <w:vAlign w:val="bottom"/>
            <w:tcBorders>
              <w:bottom w:val="single" w:sz="8" w:color="auto"/>
              <w:right w:val="single" w:sz="8" w:color="CFF0FC"/>
            </w:tcBorders>
            <w:shd w:val="clear" w:color="auto" w:fill="CFF0FC"/>
          </w:tcPr>
          <w:p>
            <w:pPr>
              <w:jc w:val="right"/>
              <w:ind w:right="13"/>
              <w:spacing w:after="0"/>
              <w:rPr>
                <w:sz w:val="20"/>
                <w:szCs w:val="20"/>
                <w:color w:val="auto"/>
              </w:rPr>
            </w:pPr>
            <w:r>
              <w:rPr>
                <w:rFonts w:ascii="Arial" w:cs="Arial" w:eastAsia="Arial" w:hAnsi="Arial"/>
                <w:sz w:val="13"/>
                <w:szCs w:val="13"/>
                <w:color w:val="auto"/>
              </w:rPr>
              <w:t>2</w:t>
            </w:r>
          </w:p>
        </w:tc>
        <w:tc>
          <w:tcPr>
            <w:tcW w:w="0" w:type="dxa"/>
            <w:vAlign w:val="bottom"/>
          </w:tcPr>
          <w:p>
            <w:pPr>
              <w:spacing w:after="0"/>
              <w:rPr>
                <w:sz w:val="1"/>
                <w:szCs w:val="1"/>
                <w:color w:val="auto"/>
              </w:rPr>
            </w:pPr>
          </w:p>
        </w:tc>
      </w:tr>
      <w:tr>
        <w:trPr>
          <w:trHeight w:val="156"/>
        </w:trPr>
        <w:tc>
          <w:tcPr>
            <w:tcW w:w="2520" w:type="dxa"/>
            <w:vAlign w:val="bottom"/>
          </w:tcPr>
          <w:p>
            <w:pPr>
              <w:spacing w:after="0"/>
              <w:rPr>
                <w:sz w:val="20"/>
                <w:szCs w:val="20"/>
                <w:color w:val="auto"/>
              </w:rPr>
            </w:pPr>
            <w:r>
              <w:rPr>
                <w:rFonts w:ascii="Arial" w:cs="Arial" w:eastAsia="Arial" w:hAnsi="Arial"/>
                <w:sz w:val="13"/>
                <w:szCs w:val="13"/>
                <w:b w:val="1"/>
                <w:bCs w:val="1"/>
                <w:color w:val="auto"/>
              </w:rPr>
              <w:t>March 31, 2021</w:t>
            </w:r>
          </w:p>
        </w:tc>
        <w:tc>
          <w:tcPr>
            <w:tcW w:w="720" w:type="dxa"/>
            <w:vAlign w:val="bottom"/>
          </w:tcPr>
          <w:p>
            <w:pPr>
              <w:jc w:val="right"/>
              <w:spacing w:after="0"/>
              <w:rPr>
                <w:sz w:val="20"/>
                <w:szCs w:val="20"/>
                <w:color w:val="auto"/>
              </w:rPr>
            </w:pPr>
            <w:r>
              <w:rPr>
                <w:rFonts w:ascii="Arial" w:cs="Arial" w:eastAsia="Arial" w:hAnsi="Arial"/>
                <w:sz w:val="13"/>
                <w:szCs w:val="13"/>
                <w:b w:val="1"/>
                <w:bCs w:val="1"/>
                <w:color w:val="auto"/>
              </w:rPr>
              <w:t>27,595,864</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jc w:val="right"/>
              <w:spacing w:after="0"/>
              <w:rPr>
                <w:sz w:val="20"/>
                <w:szCs w:val="20"/>
                <w:color w:val="auto"/>
              </w:rPr>
            </w:pPr>
            <w:r>
              <w:rPr>
                <w:rFonts w:ascii="Arial" w:cs="Arial" w:eastAsia="Arial" w:hAnsi="Arial"/>
                <w:sz w:val="13"/>
                <w:szCs w:val="13"/>
                <w:b w:val="1"/>
                <w:bCs w:val="1"/>
                <w:color w:val="auto"/>
              </w:rPr>
              <w:t>3</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40" w:type="dxa"/>
            <w:vAlign w:val="bottom"/>
          </w:tcPr>
          <w:p>
            <w:pPr>
              <w:jc w:val="right"/>
              <w:spacing w:after="0"/>
              <w:rPr>
                <w:sz w:val="20"/>
                <w:szCs w:val="20"/>
                <w:color w:val="auto"/>
              </w:rPr>
            </w:pPr>
            <w:r>
              <w:rPr>
                <w:rFonts w:ascii="Arial" w:cs="Arial" w:eastAsia="Arial" w:hAnsi="Arial"/>
                <w:sz w:val="13"/>
                <w:szCs w:val="13"/>
                <w:b w:val="1"/>
                <w:bCs w:val="1"/>
                <w:color w:val="auto"/>
              </w:rPr>
              <w:t>166,626</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3"/>
                <w:szCs w:val="13"/>
                <w:b w:val="1"/>
                <w:bCs w:val="1"/>
                <w:color w:val="auto"/>
              </w:rPr>
              <w:t>—</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3"/>
                <w:szCs w:val="13"/>
                <w:b w:val="1"/>
                <w:bCs w:val="1"/>
                <w:color w:val="auto"/>
              </w:rPr>
              <w:t>(104,822)</w:t>
            </w:r>
          </w:p>
        </w:tc>
        <w:tc>
          <w:tcPr>
            <w:tcW w:w="120" w:type="dxa"/>
            <w:vAlign w:val="bottom"/>
          </w:tcPr>
          <w:p>
            <w:pPr>
              <w:spacing w:after="0"/>
              <w:rPr>
                <w:sz w:val="13"/>
                <w:szCs w:val="13"/>
                <w:color w:val="auto"/>
              </w:rPr>
            </w:pPr>
          </w:p>
        </w:tc>
        <w:tc>
          <w:tcPr>
            <w:tcW w:w="680" w:type="dxa"/>
            <w:vAlign w:val="bottom"/>
          </w:tcPr>
          <w:p>
            <w:pPr>
              <w:jc w:val="right"/>
              <w:spacing w:after="0"/>
              <w:rPr>
                <w:sz w:val="20"/>
                <w:szCs w:val="20"/>
                <w:color w:val="auto"/>
              </w:rPr>
            </w:pPr>
            <w:r>
              <w:rPr>
                <w:rFonts w:ascii="Arial" w:cs="Arial" w:eastAsia="Arial" w:hAnsi="Arial"/>
                <w:sz w:val="13"/>
                <w:szCs w:val="13"/>
                <w:b w:val="1"/>
                <w:bCs w:val="1"/>
                <w:color w:val="auto"/>
              </w:rPr>
              <w:t>105,144</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gridSpan w:val="3"/>
          </w:tcPr>
          <w:p>
            <w:pPr>
              <w:ind w:left="400"/>
              <w:spacing w:after="0"/>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3"/>
                <w:szCs w:val="13"/>
                <w:color w:val="auto"/>
              </w:rPr>
            </w:pPr>
          </w:p>
        </w:tc>
        <w:tc>
          <w:tcPr>
            <w:tcW w:w="700" w:type="dxa"/>
            <w:vAlign w:val="bottom"/>
          </w:tcPr>
          <w:p>
            <w:pPr>
              <w:jc w:val="right"/>
              <w:spacing w:after="0"/>
              <w:rPr>
                <w:sz w:val="20"/>
                <w:szCs w:val="20"/>
                <w:color w:val="auto"/>
              </w:rPr>
            </w:pPr>
            <w:r>
              <w:rPr>
                <w:rFonts w:ascii="Arial" w:cs="Arial" w:eastAsia="Arial" w:hAnsi="Arial"/>
                <w:sz w:val="13"/>
                <w:szCs w:val="13"/>
                <w:b w:val="1"/>
                <w:bCs w:val="1"/>
                <w:color w:val="auto"/>
              </w:rPr>
              <w:t>3</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jc w:val="right"/>
              <w:ind w:right="13"/>
              <w:spacing w:after="0"/>
              <w:rPr>
                <w:sz w:val="20"/>
                <w:szCs w:val="20"/>
                <w:color w:val="auto"/>
              </w:rPr>
            </w:pPr>
            <w:r>
              <w:rPr>
                <w:rFonts w:ascii="Arial" w:cs="Arial" w:eastAsia="Arial" w:hAnsi="Arial"/>
                <w:sz w:val="13"/>
                <w:szCs w:val="13"/>
                <w:b w:val="1"/>
                <w:bCs w:val="1"/>
                <w:color w:val="auto"/>
              </w:rPr>
              <w:t>61,810</w:t>
            </w:r>
          </w:p>
        </w:tc>
        <w:tc>
          <w:tcPr>
            <w:tcW w:w="0" w:type="dxa"/>
            <w:vAlign w:val="bottom"/>
          </w:tcPr>
          <w:p>
            <w:pPr>
              <w:spacing w:after="0"/>
              <w:rPr>
                <w:sz w:val="1"/>
                <w:szCs w:val="1"/>
                <w:color w:val="auto"/>
              </w:rPr>
            </w:pPr>
          </w:p>
        </w:tc>
      </w:tr>
      <w:tr>
        <w:trPr>
          <w:trHeight w:val="162"/>
        </w:trPr>
        <w:tc>
          <w:tcPr>
            <w:tcW w:w="2520" w:type="dxa"/>
            <w:vAlign w:val="bottom"/>
            <w:shd w:val="clear" w:color="auto" w:fill="CFF0FC"/>
          </w:tcPr>
          <w:p>
            <w:pPr>
              <w:spacing w:after="0"/>
              <w:rPr>
                <w:sz w:val="20"/>
                <w:szCs w:val="20"/>
                <w:color w:val="auto"/>
              </w:rPr>
            </w:pPr>
            <w:r>
              <w:rPr>
                <w:rFonts w:ascii="Arial" w:cs="Arial" w:eastAsia="Arial" w:hAnsi="Arial"/>
                <w:sz w:val="13"/>
                <w:szCs w:val="13"/>
                <w:color w:val="auto"/>
              </w:rPr>
              <w:t>Stock-based compensation</w:t>
            </w:r>
          </w:p>
        </w:tc>
        <w:tc>
          <w:tcPr>
            <w:tcW w:w="940" w:type="dxa"/>
            <w:vAlign w:val="bottom"/>
            <w:gridSpan w:val="3"/>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1,848</w:t>
            </w:r>
          </w:p>
        </w:tc>
        <w:tc>
          <w:tcPr>
            <w:tcW w:w="1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1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80" w:type="dxa"/>
            <w:vAlign w:val="bottom"/>
            <w:gridSpan w:val="3"/>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60" w:type="dxa"/>
            <w:vAlign w:val="bottom"/>
            <w:gridSpan w:val="3"/>
            <w:shd w:val="clear" w:color="auto" w:fill="CFF0FC"/>
          </w:tcPr>
          <w:p>
            <w:pPr>
              <w:ind w:left="40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4"/>
                <w:szCs w:val="14"/>
                <w:color w:val="auto"/>
              </w:rPr>
            </w:pPr>
          </w:p>
        </w:tc>
        <w:tc>
          <w:tcPr>
            <w:tcW w:w="920" w:type="dxa"/>
            <w:vAlign w:val="bottom"/>
            <w:gridSpan w:val="3"/>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640" w:type="dxa"/>
            <w:vAlign w:val="bottom"/>
            <w:tcBorders>
              <w:right w:val="single" w:sz="8" w:color="CFF0FC"/>
            </w:tcBorders>
            <w:shd w:val="clear" w:color="auto" w:fill="CFF0FC"/>
          </w:tcPr>
          <w:p>
            <w:pPr>
              <w:jc w:val="right"/>
              <w:ind w:right="13"/>
              <w:spacing w:after="0"/>
              <w:rPr>
                <w:sz w:val="20"/>
                <w:szCs w:val="20"/>
                <w:color w:val="auto"/>
              </w:rPr>
            </w:pPr>
            <w:r>
              <w:rPr>
                <w:rFonts w:ascii="Arial" w:cs="Arial" w:eastAsia="Arial" w:hAnsi="Arial"/>
                <w:sz w:val="13"/>
                <w:szCs w:val="13"/>
                <w:color w:val="auto"/>
              </w:rPr>
              <w:t>1,848</w:t>
            </w:r>
          </w:p>
        </w:tc>
        <w:tc>
          <w:tcPr>
            <w:tcW w:w="0" w:type="dxa"/>
            <w:vAlign w:val="bottom"/>
          </w:tcPr>
          <w:p>
            <w:pPr>
              <w:spacing w:after="0"/>
              <w:rPr>
                <w:sz w:val="1"/>
                <w:szCs w:val="1"/>
                <w:color w:val="auto"/>
              </w:rPr>
            </w:pPr>
          </w:p>
        </w:tc>
      </w:tr>
      <w:tr>
        <w:trPr>
          <w:trHeight w:val="162"/>
        </w:trPr>
        <w:tc>
          <w:tcPr>
            <w:tcW w:w="2520" w:type="dxa"/>
            <w:vAlign w:val="bottom"/>
          </w:tcPr>
          <w:p>
            <w:pPr>
              <w:spacing w:after="0"/>
              <w:rPr>
                <w:sz w:val="20"/>
                <w:szCs w:val="20"/>
                <w:color w:val="auto"/>
              </w:rPr>
            </w:pPr>
            <w:r>
              <w:rPr>
                <w:rFonts w:ascii="Arial" w:cs="Arial" w:eastAsia="Arial" w:hAnsi="Arial"/>
                <w:sz w:val="13"/>
                <w:szCs w:val="13"/>
                <w:color w:val="auto"/>
              </w:rPr>
              <w:t>Exercise of stock options</w:t>
            </w:r>
          </w:p>
        </w:tc>
        <w:tc>
          <w:tcPr>
            <w:tcW w:w="720" w:type="dxa"/>
            <w:vAlign w:val="bottom"/>
          </w:tcPr>
          <w:p>
            <w:pPr>
              <w:jc w:val="right"/>
              <w:spacing w:after="0"/>
              <w:rPr>
                <w:sz w:val="20"/>
                <w:szCs w:val="20"/>
                <w:color w:val="auto"/>
              </w:rPr>
            </w:pPr>
            <w:r>
              <w:rPr>
                <w:rFonts w:ascii="Arial" w:cs="Arial" w:eastAsia="Arial" w:hAnsi="Arial"/>
                <w:sz w:val="13"/>
                <w:szCs w:val="13"/>
                <w:color w:val="auto"/>
              </w:rPr>
              <w:t>24,000</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40" w:type="dxa"/>
            <w:vAlign w:val="bottom"/>
          </w:tcPr>
          <w:p>
            <w:pPr>
              <w:jc w:val="right"/>
              <w:spacing w:after="0"/>
              <w:rPr>
                <w:sz w:val="20"/>
                <w:szCs w:val="20"/>
                <w:color w:val="auto"/>
              </w:rPr>
            </w:pPr>
            <w:r>
              <w:rPr>
                <w:rFonts w:ascii="Arial" w:cs="Arial" w:eastAsia="Arial" w:hAnsi="Arial"/>
                <w:sz w:val="13"/>
                <w:szCs w:val="13"/>
                <w:color w:val="auto"/>
              </w:rPr>
              <w:t>277</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gridSpan w:val="3"/>
          </w:tcPr>
          <w:p>
            <w:pPr>
              <w:jc w:val="right"/>
              <w:ind w:right="240"/>
              <w:spacing w:after="0"/>
              <w:rPr>
                <w:sz w:val="20"/>
                <w:szCs w:val="20"/>
                <w:color w:val="auto"/>
              </w:rPr>
            </w:pPr>
            <w:r>
              <w:rPr>
                <w:rFonts w:ascii="Arial" w:cs="Arial" w:eastAsia="Arial" w:hAnsi="Arial"/>
                <w:sz w:val="13"/>
                <w:szCs w:val="13"/>
                <w:color w:val="auto"/>
              </w:rPr>
              <w:t>—</w:t>
            </w:r>
          </w:p>
        </w:tc>
        <w:tc>
          <w:tcPr>
            <w:tcW w:w="680" w:type="dxa"/>
            <w:vAlign w:val="bottom"/>
          </w:tcPr>
          <w:p>
            <w:pPr>
              <w:jc w:val="right"/>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gridSpan w:val="3"/>
          </w:tcPr>
          <w:p>
            <w:pPr>
              <w:ind w:left="4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920" w:type="dxa"/>
            <w:vAlign w:val="bottom"/>
            <w:gridSpan w:val="3"/>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640" w:type="dxa"/>
            <w:vAlign w:val="bottom"/>
          </w:tcPr>
          <w:p>
            <w:pPr>
              <w:jc w:val="right"/>
              <w:ind w:right="13"/>
              <w:spacing w:after="0"/>
              <w:rPr>
                <w:sz w:val="20"/>
                <w:szCs w:val="20"/>
                <w:color w:val="auto"/>
              </w:rPr>
            </w:pPr>
            <w:r>
              <w:rPr>
                <w:rFonts w:ascii="Arial" w:cs="Arial" w:eastAsia="Arial" w:hAnsi="Arial"/>
                <w:sz w:val="13"/>
                <w:szCs w:val="13"/>
                <w:color w:val="auto"/>
              </w:rPr>
              <w:t>277</w:t>
            </w:r>
          </w:p>
        </w:tc>
        <w:tc>
          <w:tcPr>
            <w:tcW w:w="0" w:type="dxa"/>
            <w:vAlign w:val="bottom"/>
          </w:tcPr>
          <w:p>
            <w:pPr>
              <w:spacing w:after="0"/>
              <w:rPr>
                <w:sz w:val="1"/>
                <w:szCs w:val="1"/>
                <w:color w:val="auto"/>
              </w:rPr>
            </w:pPr>
          </w:p>
        </w:tc>
      </w:tr>
      <w:tr>
        <w:trPr>
          <w:trHeight w:val="162"/>
        </w:trPr>
        <w:tc>
          <w:tcPr>
            <w:tcW w:w="2520" w:type="dxa"/>
            <w:vAlign w:val="bottom"/>
            <w:shd w:val="clear" w:color="auto" w:fill="CFF0FC"/>
          </w:tcPr>
          <w:p>
            <w:pPr>
              <w:spacing w:after="0"/>
              <w:rPr>
                <w:sz w:val="20"/>
                <w:szCs w:val="20"/>
                <w:color w:val="auto"/>
              </w:rPr>
            </w:pPr>
            <w:r>
              <w:rPr>
                <w:rFonts w:ascii="Arial" w:cs="Arial" w:eastAsia="Arial" w:hAnsi="Arial"/>
                <w:sz w:val="13"/>
                <w:szCs w:val="13"/>
                <w:color w:val="auto"/>
              </w:rPr>
              <w:t>Net loss</w:t>
            </w:r>
          </w:p>
        </w:tc>
        <w:tc>
          <w:tcPr>
            <w:tcW w:w="940" w:type="dxa"/>
            <w:vAlign w:val="bottom"/>
            <w:gridSpan w:val="3"/>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340" w:type="dxa"/>
            <w:vAlign w:val="bottom"/>
            <w:gridSpan w:val="3"/>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1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60" w:type="dxa"/>
            <w:vAlign w:val="bottom"/>
            <w:gridSpan w:val="2"/>
            <w:shd w:val="clear" w:color="auto" w:fill="CFF0FC"/>
          </w:tcPr>
          <w:p>
            <w:pPr>
              <w:jc w:val="right"/>
              <w:ind w:right="60"/>
              <w:spacing w:after="0"/>
              <w:rPr>
                <w:sz w:val="20"/>
                <w:szCs w:val="20"/>
                <w:color w:val="auto"/>
              </w:rPr>
            </w:pPr>
            <w:r>
              <w:rPr>
                <w:rFonts w:ascii="Arial" w:cs="Arial" w:eastAsia="Arial" w:hAnsi="Arial"/>
                <w:sz w:val="13"/>
                <w:szCs w:val="13"/>
                <w:color w:val="auto"/>
              </w:rPr>
              <w:t>(11,775)</w:t>
            </w: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60" w:type="dxa"/>
            <w:vAlign w:val="bottom"/>
            <w:gridSpan w:val="3"/>
            <w:shd w:val="clear" w:color="auto" w:fill="CFF0FC"/>
          </w:tcPr>
          <w:p>
            <w:pPr>
              <w:ind w:left="40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4"/>
                <w:szCs w:val="14"/>
                <w:color w:val="auto"/>
              </w:rPr>
            </w:pPr>
          </w:p>
        </w:tc>
        <w:tc>
          <w:tcPr>
            <w:tcW w:w="920" w:type="dxa"/>
            <w:vAlign w:val="bottom"/>
            <w:gridSpan w:val="3"/>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64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3"/>
                <w:szCs w:val="13"/>
                <w:color w:val="auto"/>
              </w:rPr>
              <w:t>(11,775)</w:t>
            </w:r>
          </w:p>
        </w:tc>
        <w:tc>
          <w:tcPr>
            <w:tcW w:w="0" w:type="dxa"/>
            <w:vAlign w:val="bottom"/>
          </w:tcPr>
          <w:p>
            <w:pPr>
              <w:spacing w:after="0"/>
              <w:rPr>
                <w:sz w:val="1"/>
                <w:szCs w:val="1"/>
                <w:color w:val="auto"/>
              </w:rPr>
            </w:pPr>
          </w:p>
        </w:tc>
      </w:tr>
      <w:tr>
        <w:trPr>
          <w:trHeight w:val="162"/>
        </w:trPr>
        <w:tc>
          <w:tcPr>
            <w:tcW w:w="2520" w:type="dxa"/>
            <w:vAlign w:val="bottom"/>
          </w:tcPr>
          <w:p>
            <w:pPr>
              <w:spacing w:after="0"/>
              <w:rPr>
                <w:sz w:val="20"/>
                <w:szCs w:val="20"/>
                <w:color w:val="auto"/>
              </w:rPr>
            </w:pPr>
            <w:r>
              <w:rPr>
                <w:rFonts w:ascii="Arial" w:cs="Arial" w:eastAsia="Arial" w:hAnsi="Arial"/>
                <w:sz w:val="13"/>
                <w:szCs w:val="13"/>
                <w:color w:val="auto"/>
              </w:rPr>
              <w:t>Unrealized gain on marketable securities</w:t>
            </w:r>
          </w:p>
        </w:tc>
        <w:tc>
          <w:tcPr>
            <w:tcW w:w="720" w:type="dxa"/>
            <w:vAlign w:val="bottom"/>
          </w:tcPr>
          <w:p>
            <w:pPr>
              <w:jc w:val="right"/>
              <w:spacing w:after="0"/>
              <w:rPr>
                <w:sz w:val="20"/>
                <w:szCs w:val="20"/>
                <w:color w:val="auto"/>
              </w:rPr>
            </w:pPr>
            <w:r>
              <w:rPr>
                <w:rFonts w:ascii="Arial" w:cs="Arial" w:eastAsia="Arial" w:hAnsi="Arial"/>
                <w:sz w:val="13"/>
                <w:szCs w:val="13"/>
                <w:color w:val="auto"/>
              </w:rPr>
              <w:t>—</w:t>
            </w:r>
          </w:p>
        </w:tc>
        <w:tc>
          <w:tcPr>
            <w:tcW w:w="220" w:type="dxa"/>
            <w:vAlign w:val="bottom"/>
            <w:gridSpan w:val="2"/>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40" w:type="dxa"/>
            <w:vAlign w:val="bottom"/>
          </w:tcPr>
          <w:p>
            <w:pPr>
              <w:jc w:val="right"/>
              <w:spacing w:after="0"/>
              <w:rPr>
                <w:sz w:val="20"/>
                <w:szCs w:val="20"/>
                <w:color w:val="auto"/>
              </w:rPr>
            </w:pPr>
            <w:r>
              <w:rPr>
                <w:rFonts w:ascii="Arial" w:cs="Arial" w:eastAsia="Arial" w:hAnsi="Arial"/>
                <w:sz w:val="13"/>
                <w:szCs w:val="13"/>
                <w:color w:val="auto"/>
              </w:rPr>
              <w:t>—</w:t>
            </w:r>
          </w:p>
        </w:tc>
        <w:tc>
          <w:tcPr>
            <w:tcW w:w="200" w:type="dxa"/>
            <w:vAlign w:val="bottom"/>
            <w:gridSpan w:val="2"/>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3"/>
                <w:szCs w:val="13"/>
                <w:color w:val="auto"/>
              </w:rPr>
              <w:t>—</w:t>
            </w:r>
          </w:p>
        </w:tc>
        <w:tc>
          <w:tcPr>
            <w:tcW w:w="220" w:type="dxa"/>
            <w:vAlign w:val="bottom"/>
            <w:gridSpan w:val="2"/>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ind w:left="400"/>
              <w:spacing w:after="0"/>
              <w:rPr>
                <w:sz w:val="20"/>
                <w:szCs w:val="20"/>
                <w:color w:val="auto"/>
              </w:rPr>
            </w:pPr>
            <w:r>
              <w:rPr>
                <w:rFonts w:ascii="Arial" w:cs="Arial" w:eastAsia="Arial" w:hAnsi="Arial"/>
                <w:sz w:val="13"/>
                <w:szCs w:val="13"/>
                <w:color w:val="auto"/>
                <w:w w:val="91"/>
              </w:rPr>
              <w:t>—</w:t>
            </w:r>
          </w:p>
        </w:tc>
        <w:tc>
          <w:tcPr>
            <w:tcW w:w="220" w:type="dxa"/>
            <w:vAlign w:val="bottom"/>
            <w:gridSpan w:val="2"/>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3"/>
                <w:szCs w:val="13"/>
                <w:color w:val="auto"/>
              </w:rPr>
              <w:t>(4)</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3"/>
                <w:szCs w:val="13"/>
                <w:color w:val="auto"/>
              </w:rPr>
              <w:t>(4)</w:t>
            </w:r>
          </w:p>
        </w:tc>
        <w:tc>
          <w:tcPr>
            <w:tcW w:w="0" w:type="dxa"/>
            <w:vAlign w:val="bottom"/>
          </w:tcPr>
          <w:p>
            <w:pPr>
              <w:spacing w:after="0"/>
              <w:rPr>
                <w:sz w:val="1"/>
                <w:szCs w:val="1"/>
                <w:color w:val="auto"/>
              </w:rPr>
            </w:pPr>
          </w:p>
        </w:tc>
      </w:tr>
      <w:tr>
        <w:trPr>
          <w:trHeight w:val="20"/>
        </w:trPr>
        <w:tc>
          <w:tcPr>
            <w:tcW w:w="2520" w:type="dxa"/>
            <w:vAlign w:val="bottom"/>
            <w:vMerge w:val="restart"/>
            <w:shd w:val="clear" w:color="auto" w:fill="CFF0FC"/>
          </w:tcPr>
          <w:p>
            <w:pPr>
              <w:spacing w:after="0"/>
              <w:rPr>
                <w:sz w:val="20"/>
                <w:szCs w:val="20"/>
                <w:color w:val="auto"/>
              </w:rPr>
            </w:pPr>
            <w:r>
              <w:rPr>
                <w:rFonts w:ascii="Arial" w:cs="Arial" w:eastAsia="Arial" w:hAnsi="Arial"/>
                <w:sz w:val="13"/>
                <w:szCs w:val="13"/>
                <w:b w:val="1"/>
                <w:bCs w:val="1"/>
                <w:color w:val="auto"/>
              </w:rPr>
              <w:t>June 30, 2021</w:t>
            </w:r>
          </w:p>
        </w:tc>
        <w:tc>
          <w:tcPr>
            <w:tcW w:w="72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tcBorders>
              <w:right w:val="single" w:sz="8" w:color="CFF0FC"/>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2520" w:type="dxa"/>
            <w:vAlign w:val="bottom"/>
            <w:vMerge w:val="continue"/>
            <w:shd w:val="clear" w:color="auto" w:fill="CFF0FC"/>
          </w:tcPr>
          <w:p>
            <w:pPr>
              <w:spacing w:after="0"/>
              <w:rPr>
                <w:sz w:val="13"/>
                <w:szCs w:val="13"/>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3"/>
                <w:szCs w:val="13"/>
                <w:b w:val="1"/>
                <w:bCs w:val="1"/>
                <w:color w:val="auto"/>
              </w:rPr>
              <w:t>27,619,864</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3"/>
                <w:szCs w:val="13"/>
                <w:b w:val="1"/>
                <w:bCs w:val="1"/>
                <w:color w:val="auto"/>
                <w:w w:val="82"/>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3"/>
                <w:szCs w:val="13"/>
                <w:b w:val="1"/>
                <w:bCs w:val="1"/>
                <w:color w:val="auto"/>
              </w:rPr>
              <w:t>3</w:t>
            </w:r>
          </w:p>
        </w:tc>
        <w:tc>
          <w:tcPr>
            <w:tcW w:w="200" w:type="dxa"/>
            <w:vAlign w:val="bottom"/>
            <w:gridSpan w:val="2"/>
            <w:shd w:val="clear" w:color="auto" w:fill="CFF0FC"/>
          </w:tcPr>
          <w:p>
            <w:pPr>
              <w:spacing w:after="0"/>
              <w:rPr>
                <w:sz w:val="13"/>
                <w:szCs w:val="13"/>
                <w:color w:val="auto"/>
              </w:rPr>
            </w:pPr>
          </w:p>
        </w:tc>
        <w:tc>
          <w:tcPr>
            <w:tcW w:w="160" w:type="dxa"/>
            <w:vAlign w:val="bottom"/>
            <w:shd w:val="clear" w:color="auto" w:fill="CFF0FC"/>
          </w:tcPr>
          <w:p>
            <w:pPr>
              <w:jc w:val="right"/>
              <w:ind w:right="13"/>
              <w:spacing w:after="0"/>
              <w:rPr>
                <w:sz w:val="20"/>
                <w:szCs w:val="20"/>
                <w:color w:val="auto"/>
              </w:rPr>
            </w:pPr>
            <w:r>
              <w:rPr>
                <w:rFonts w:ascii="Arial" w:cs="Arial" w:eastAsia="Arial" w:hAnsi="Arial"/>
                <w:sz w:val="13"/>
                <w:szCs w:val="13"/>
                <w:b w:val="1"/>
                <w:bCs w:val="1"/>
                <w:color w:val="auto"/>
                <w:w w:val="82"/>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3"/>
                <w:szCs w:val="13"/>
                <w:b w:val="1"/>
                <w:bCs w:val="1"/>
                <w:color w:val="auto"/>
              </w:rPr>
              <w:t>168,751</w:t>
            </w:r>
          </w:p>
        </w:tc>
        <w:tc>
          <w:tcPr>
            <w:tcW w:w="10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20"/>
                <w:szCs w:val="20"/>
                <w:color w:val="auto"/>
              </w:rPr>
            </w:pPr>
            <w:r>
              <w:rPr>
                <w:rFonts w:ascii="Arial" w:cs="Arial" w:eastAsia="Arial" w:hAnsi="Arial"/>
                <w:sz w:val="13"/>
                <w:szCs w:val="13"/>
                <w:b w:val="1"/>
                <w:bCs w:val="1"/>
                <w:color w:val="auto"/>
                <w:w w:val="82"/>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3"/>
                <w:szCs w:val="13"/>
                <w:b w:val="1"/>
                <w:bCs w:val="1"/>
                <w:color w:val="auto"/>
              </w:rPr>
              <w:t>—</w:t>
            </w:r>
          </w:p>
        </w:tc>
        <w:tc>
          <w:tcPr>
            <w:tcW w:w="100" w:type="dxa"/>
            <w:vAlign w:val="bottom"/>
            <w:shd w:val="clear" w:color="auto" w:fill="CFF0FC"/>
          </w:tcPr>
          <w:p>
            <w:pPr>
              <w:spacing w:after="0"/>
              <w:rPr>
                <w:sz w:val="13"/>
                <w:szCs w:val="13"/>
                <w:color w:val="auto"/>
              </w:rPr>
            </w:pPr>
          </w:p>
        </w:tc>
        <w:tc>
          <w:tcPr>
            <w:tcW w:w="240" w:type="dxa"/>
            <w:vAlign w:val="bottom"/>
            <w:gridSpan w:val="2"/>
            <w:shd w:val="clear" w:color="auto" w:fill="CFF0FC"/>
          </w:tcPr>
          <w:p>
            <w:pPr>
              <w:ind w:left="120"/>
              <w:spacing w:after="0"/>
              <w:rPr>
                <w:sz w:val="20"/>
                <w:szCs w:val="20"/>
                <w:color w:val="auto"/>
              </w:rPr>
            </w:pPr>
            <w:r>
              <w:rPr>
                <w:rFonts w:ascii="Arial" w:cs="Arial" w:eastAsia="Arial" w:hAnsi="Arial"/>
                <w:sz w:val="13"/>
                <w:szCs w:val="13"/>
                <w:b w:val="1"/>
                <w:bCs w:val="1"/>
                <w:color w:val="auto"/>
              </w:rPr>
              <w:t>$</w:t>
            </w:r>
          </w:p>
        </w:tc>
        <w:tc>
          <w:tcPr>
            <w:tcW w:w="660" w:type="dxa"/>
            <w:vAlign w:val="bottom"/>
            <w:gridSpan w:val="2"/>
            <w:shd w:val="clear" w:color="auto" w:fill="CFF0FC"/>
          </w:tcPr>
          <w:p>
            <w:pPr>
              <w:jc w:val="right"/>
              <w:ind w:right="60"/>
              <w:spacing w:after="0"/>
              <w:rPr>
                <w:sz w:val="20"/>
                <w:szCs w:val="20"/>
                <w:color w:val="auto"/>
              </w:rPr>
            </w:pPr>
            <w:r>
              <w:rPr>
                <w:rFonts w:ascii="Arial" w:cs="Arial" w:eastAsia="Arial" w:hAnsi="Arial"/>
                <w:sz w:val="13"/>
                <w:szCs w:val="13"/>
                <w:b w:val="1"/>
                <w:bCs w:val="1"/>
                <w:color w:val="auto"/>
              </w:rPr>
              <w:t>(116,597)</w:t>
            </w:r>
          </w:p>
        </w:tc>
        <w:tc>
          <w:tcPr>
            <w:tcW w:w="120" w:type="dxa"/>
            <w:vAlign w:val="bottom"/>
            <w:shd w:val="clear" w:color="auto" w:fill="CFF0FC"/>
          </w:tcPr>
          <w:p>
            <w:pPr>
              <w:spacing w:after="0"/>
              <w:rPr>
                <w:sz w:val="13"/>
                <w:szCs w:val="13"/>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3"/>
                <w:szCs w:val="13"/>
                <w:b w:val="1"/>
                <w:bCs w:val="1"/>
                <w:color w:val="auto"/>
              </w:rPr>
              <w:t>105,144</w:t>
            </w:r>
          </w:p>
        </w:tc>
        <w:tc>
          <w:tcPr>
            <w:tcW w:w="360" w:type="dxa"/>
            <w:vAlign w:val="bottom"/>
            <w:gridSpan w:val="3"/>
            <w:shd w:val="clear" w:color="auto" w:fill="CFF0FC"/>
          </w:tcPr>
          <w:p>
            <w:pPr>
              <w:jc w:val="right"/>
              <w:ind w:right="80"/>
              <w:spacing w:after="0"/>
              <w:rPr>
                <w:sz w:val="20"/>
                <w:szCs w:val="20"/>
                <w:color w:val="auto"/>
              </w:rPr>
            </w:pPr>
            <w:r>
              <w:rPr>
                <w:rFonts w:ascii="Arial" w:cs="Arial" w:eastAsia="Arial" w:hAnsi="Arial"/>
                <w:sz w:val="13"/>
                <w:szCs w:val="13"/>
                <w:b w:val="1"/>
                <w:bCs w:val="1"/>
                <w:color w:val="auto"/>
              </w:rPr>
              <w:t>$</w:t>
            </w:r>
          </w:p>
        </w:tc>
        <w:tc>
          <w:tcPr>
            <w:tcW w:w="760" w:type="dxa"/>
            <w:vAlign w:val="bottom"/>
            <w:gridSpan w:val="3"/>
            <w:shd w:val="clear" w:color="auto" w:fill="CFF0FC"/>
          </w:tcPr>
          <w:p>
            <w:pPr>
              <w:ind w:left="400"/>
              <w:spacing w:after="0"/>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FF0FC"/>
          </w:tcPr>
          <w:p>
            <w:pPr>
              <w:spacing w:after="0"/>
              <w:rPr>
                <w:sz w:val="20"/>
                <w:szCs w:val="20"/>
                <w:color w:val="auto"/>
              </w:rPr>
            </w:pPr>
            <w:r>
              <w:rPr>
                <w:rFonts w:ascii="Arial" w:cs="Arial" w:eastAsia="Arial" w:hAnsi="Arial"/>
                <w:sz w:val="13"/>
                <w:szCs w:val="13"/>
                <w:b w:val="1"/>
                <w:bCs w:val="1"/>
                <w:color w:val="auto"/>
                <w:w w:val="82"/>
              </w:rPr>
              <w:t>$</w:t>
            </w:r>
          </w:p>
        </w:tc>
        <w:tc>
          <w:tcPr>
            <w:tcW w:w="820" w:type="dxa"/>
            <w:vAlign w:val="bottom"/>
            <w:gridSpan w:val="2"/>
            <w:shd w:val="clear" w:color="auto" w:fill="CFF0FC"/>
          </w:tcPr>
          <w:p>
            <w:pPr>
              <w:jc w:val="right"/>
              <w:ind w:right="60"/>
              <w:spacing w:after="0"/>
              <w:rPr>
                <w:sz w:val="20"/>
                <w:szCs w:val="20"/>
                <w:color w:val="auto"/>
              </w:rPr>
            </w:pPr>
            <w:r>
              <w:rPr>
                <w:rFonts w:ascii="Arial" w:cs="Arial" w:eastAsia="Arial" w:hAnsi="Arial"/>
                <w:sz w:val="13"/>
                <w:szCs w:val="13"/>
                <w:b w:val="1"/>
                <w:bCs w:val="1"/>
                <w:color w:val="auto"/>
              </w:rPr>
              <w:t>(1)</w:t>
            </w:r>
          </w:p>
        </w:tc>
        <w:tc>
          <w:tcPr>
            <w:tcW w:w="1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20"/>
                <w:szCs w:val="20"/>
                <w:color w:val="auto"/>
              </w:rPr>
            </w:pPr>
            <w:r>
              <w:rPr>
                <w:rFonts w:ascii="Arial" w:cs="Arial" w:eastAsia="Arial" w:hAnsi="Arial"/>
                <w:sz w:val="13"/>
                <w:szCs w:val="13"/>
                <w:b w:val="1"/>
                <w:bCs w:val="1"/>
                <w:color w:val="auto"/>
              </w:rPr>
              <w:t>$</w:t>
            </w:r>
          </w:p>
        </w:tc>
        <w:tc>
          <w:tcPr>
            <w:tcW w:w="640" w:type="dxa"/>
            <w:vAlign w:val="bottom"/>
            <w:tcBorders>
              <w:right w:val="single" w:sz="8" w:color="CFF0FC"/>
            </w:tcBorders>
            <w:shd w:val="clear" w:color="auto" w:fill="CFF0FC"/>
          </w:tcPr>
          <w:p>
            <w:pPr>
              <w:jc w:val="right"/>
              <w:ind w:right="13"/>
              <w:spacing w:after="0"/>
              <w:rPr>
                <w:sz w:val="20"/>
                <w:szCs w:val="20"/>
                <w:color w:val="auto"/>
              </w:rPr>
            </w:pPr>
            <w:r>
              <w:rPr>
                <w:rFonts w:ascii="Arial" w:cs="Arial" w:eastAsia="Arial" w:hAnsi="Arial"/>
                <w:sz w:val="13"/>
                <w:szCs w:val="13"/>
                <w:b w:val="1"/>
                <w:bCs w:val="1"/>
                <w:color w:val="auto"/>
              </w:rPr>
              <w:t>52,156</w:t>
            </w:r>
          </w:p>
        </w:tc>
        <w:tc>
          <w:tcPr>
            <w:tcW w:w="0" w:type="dxa"/>
            <w:vAlign w:val="bottom"/>
          </w:tcPr>
          <w:p>
            <w:pPr>
              <w:spacing w:after="0"/>
              <w:rPr>
                <w:sz w:val="1"/>
                <w:szCs w:val="1"/>
                <w:color w:val="auto"/>
              </w:rPr>
            </w:pPr>
          </w:p>
        </w:tc>
      </w:tr>
      <w:tr>
        <w:trPr>
          <w:trHeight w:val="20"/>
        </w:trPr>
        <w:tc>
          <w:tcPr>
            <w:tcW w:w="2520" w:type="dxa"/>
            <w:vAlign w:val="bottom"/>
            <w:tcBorders>
              <w:top w:val="single" w:sz="8" w:color="CFF0FC"/>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37"/>
        </w:trPr>
        <w:tc>
          <w:tcPr>
            <w:tcW w:w="2520" w:type="dxa"/>
            <w:vAlign w:val="bottom"/>
          </w:tcPr>
          <w:p>
            <w:pPr>
              <w:spacing w:after="0"/>
              <w:rPr>
                <w:sz w:val="20"/>
                <w:szCs w:val="20"/>
                <w:color w:val="auto"/>
              </w:rPr>
            </w:pPr>
            <w:r>
              <w:rPr>
                <w:rFonts w:ascii="Arial" w:cs="Arial" w:eastAsia="Arial" w:hAnsi="Arial"/>
                <w:sz w:val="13"/>
                <w:szCs w:val="13"/>
                <w:b w:val="1"/>
                <w:bCs w:val="1"/>
                <w:color w:val="auto"/>
              </w:rPr>
              <w:t>January 1, 2020</w:t>
            </w:r>
          </w:p>
        </w:tc>
        <w:tc>
          <w:tcPr>
            <w:tcW w:w="720" w:type="dxa"/>
            <w:vAlign w:val="bottom"/>
          </w:tcPr>
          <w:p>
            <w:pPr>
              <w:jc w:val="right"/>
              <w:spacing w:after="0"/>
              <w:rPr>
                <w:sz w:val="20"/>
                <w:szCs w:val="20"/>
                <w:color w:val="auto"/>
              </w:rPr>
            </w:pPr>
            <w:r>
              <w:rPr>
                <w:rFonts w:ascii="Arial" w:cs="Arial" w:eastAsia="Arial" w:hAnsi="Arial"/>
                <w:sz w:val="13"/>
                <w:szCs w:val="13"/>
                <w:b w:val="1"/>
                <w:bCs w:val="1"/>
                <w:color w:val="auto"/>
              </w:rPr>
              <w:t>25,912,137</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3"/>
                <w:szCs w:val="13"/>
                <w:b w:val="1"/>
                <w:bCs w:val="1"/>
                <w:color w:val="auto"/>
                <w:w w:val="82"/>
              </w:rPr>
              <w:t>$</w:t>
            </w:r>
          </w:p>
        </w:tc>
        <w:tc>
          <w:tcPr>
            <w:tcW w:w="600" w:type="dxa"/>
            <w:vAlign w:val="bottom"/>
          </w:tcPr>
          <w:p>
            <w:pPr>
              <w:jc w:val="right"/>
              <w:spacing w:after="0"/>
              <w:rPr>
                <w:sz w:val="20"/>
                <w:szCs w:val="20"/>
                <w:color w:val="auto"/>
              </w:rPr>
            </w:pPr>
            <w:r>
              <w:rPr>
                <w:rFonts w:ascii="Arial" w:cs="Arial" w:eastAsia="Arial" w:hAnsi="Arial"/>
                <w:sz w:val="13"/>
                <w:szCs w:val="13"/>
                <w:b w:val="1"/>
                <w:bCs w:val="1"/>
                <w:color w:val="auto"/>
              </w:rPr>
              <w:t>3</w:t>
            </w:r>
          </w:p>
        </w:tc>
        <w:tc>
          <w:tcPr>
            <w:tcW w:w="360" w:type="dxa"/>
            <w:vAlign w:val="bottom"/>
            <w:gridSpan w:val="3"/>
          </w:tcPr>
          <w:p>
            <w:pPr>
              <w:jc w:val="right"/>
              <w:ind w:right="13"/>
              <w:spacing w:after="0"/>
              <w:rPr>
                <w:sz w:val="20"/>
                <w:szCs w:val="20"/>
                <w:color w:val="auto"/>
              </w:rPr>
            </w:pPr>
            <w:r>
              <w:rPr>
                <w:rFonts w:ascii="Arial" w:cs="Arial" w:eastAsia="Arial" w:hAnsi="Arial"/>
                <w:sz w:val="13"/>
                <w:szCs w:val="13"/>
                <w:b w:val="1"/>
                <w:bCs w:val="1"/>
                <w:color w:val="auto"/>
              </w:rPr>
              <w:t>$</w:t>
            </w:r>
          </w:p>
        </w:tc>
        <w:tc>
          <w:tcPr>
            <w:tcW w:w="1140" w:type="dxa"/>
            <w:vAlign w:val="bottom"/>
          </w:tcPr>
          <w:p>
            <w:pPr>
              <w:jc w:val="right"/>
              <w:spacing w:after="0"/>
              <w:rPr>
                <w:sz w:val="20"/>
                <w:szCs w:val="20"/>
                <w:color w:val="auto"/>
              </w:rPr>
            </w:pPr>
            <w:r>
              <w:rPr>
                <w:rFonts w:ascii="Arial" w:cs="Arial" w:eastAsia="Arial" w:hAnsi="Arial"/>
                <w:sz w:val="13"/>
                <w:szCs w:val="13"/>
                <w:b w:val="1"/>
                <w:bCs w:val="1"/>
                <w:color w:val="auto"/>
              </w:rPr>
              <w:t>126,594</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0"/>
                <w:szCs w:val="20"/>
                <w:color w:val="auto"/>
              </w:rPr>
            </w:pPr>
            <w:r>
              <w:rPr>
                <w:rFonts w:ascii="Arial" w:cs="Arial" w:eastAsia="Arial" w:hAnsi="Arial"/>
                <w:sz w:val="13"/>
                <w:szCs w:val="13"/>
                <w:b w:val="1"/>
                <w:bCs w:val="1"/>
                <w:color w:val="auto"/>
                <w:w w:val="82"/>
              </w:rPr>
              <w:t>$</w:t>
            </w:r>
          </w:p>
        </w:tc>
        <w:tc>
          <w:tcPr>
            <w:tcW w:w="720" w:type="dxa"/>
            <w:vAlign w:val="bottom"/>
            <w:gridSpan w:val="2"/>
          </w:tcPr>
          <w:p>
            <w:pPr>
              <w:jc w:val="right"/>
              <w:ind w:right="60"/>
              <w:spacing w:after="0"/>
              <w:rPr>
                <w:sz w:val="20"/>
                <w:szCs w:val="20"/>
                <w:color w:val="auto"/>
              </w:rPr>
            </w:pPr>
            <w:r>
              <w:rPr>
                <w:rFonts w:ascii="Arial" w:cs="Arial" w:eastAsia="Arial" w:hAnsi="Arial"/>
                <w:sz w:val="13"/>
                <w:szCs w:val="13"/>
                <w:b w:val="1"/>
                <w:bCs w:val="1"/>
                <w:color w:val="auto"/>
              </w:rPr>
              <w:t>(410)</w:t>
            </w:r>
          </w:p>
        </w:tc>
        <w:tc>
          <w:tcPr>
            <w:tcW w:w="240" w:type="dxa"/>
            <w:vAlign w:val="bottom"/>
            <w:gridSpan w:val="2"/>
          </w:tcPr>
          <w:p>
            <w:pPr>
              <w:ind w:left="120"/>
              <w:spacing w:after="0"/>
              <w:rPr>
                <w:sz w:val="20"/>
                <w:szCs w:val="20"/>
                <w:color w:val="auto"/>
              </w:rPr>
            </w:pPr>
            <w:r>
              <w:rPr>
                <w:rFonts w:ascii="Arial" w:cs="Arial" w:eastAsia="Arial" w:hAnsi="Arial"/>
                <w:sz w:val="13"/>
                <w:szCs w:val="13"/>
                <w:b w:val="1"/>
                <w:bCs w:val="1"/>
                <w:color w:val="auto"/>
              </w:rPr>
              <w:t>$</w:t>
            </w:r>
          </w:p>
        </w:tc>
        <w:tc>
          <w:tcPr>
            <w:tcW w:w="660" w:type="dxa"/>
            <w:vAlign w:val="bottom"/>
            <w:gridSpan w:val="2"/>
          </w:tcPr>
          <w:p>
            <w:pPr>
              <w:jc w:val="right"/>
              <w:ind w:right="60"/>
              <w:spacing w:after="0"/>
              <w:rPr>
                <w:sz w:val="20"/>
                <w:szCs w:val="20"/>
                <w:color w:val="auto"/>
              </w:rPr>
            </w:pPr>
            <w:r>
              <w:rPr>
                <w:rFonts w:ascii="Arial" w:cs="Arial" w:eastAsia="Arial" w:hAnsi="Arial"/>
                <w:sz w:val="13"/>
                <w:szCs w:val="13"/>
                <w:b w:val="1"/>
                <w:bCs w:val="1"/>
                <w:color w:val="auto"/>
              </w:rPr>
              <w:t>(61,192)</w:t>
            </w:r>
          </w:p>
        </w:tc>
        <w:tc>
          <w:tcPr>
            <w:tcW w:w="12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Arial" w:cs="Arial" w:eastAsia="Arial" w:hAnsi="Arial"/>
                <w:sz w:val="13"/>
                <w:szCs w:val="13"/>
                <w:b w:val="1"/>
                <w:bCs w:val="1"/>
                <w:color w:val="auto"/>
              </w:rPr>
              <w:t>105,144</w:t>
            </w:r>
          </w:p>
        </w:tc>
        <w:tc>
          <w:tcPr>
            <w:tcW w:w="360" w:type="dxa"/>
            <w:vAlign w:val="bottom"/>
            <w:gridSpan w:val="3"/>
          </w:tcPr>
          <w:p>
            <w:pPr>
              <w:jc w:val="right"/>
              <w:ind w:right="80"/>
              <w:spacing w:after="0"/>
              <w:rPr>
                <w:sz w:val="20"/>
                <w:szCs w:val="20"/>
                <w:color w:val="auto"/>
              </w:rPr>
            </w:pPr>
            <w:r>
              <w:rPr>
                <w:rFonts w:ascii="Arial" w:cs="Arial" w:eastAsia="Arial" w:hAnsi="Arial"/>
                <w:sz w:val="13"/>
                <w:szCs w:val="13"/>
                <w:b w:val="1"/>
                <w:bCs w:val="1"/>
                <w:color w:val="auto"/>
              </w:rPr>
              <w:t>$</w:t>
            </w:r>
          </w:p>
        </w:tc>
        <w:tc>
          <w:tcPr>
            <w:tcW w:w="760" w:type="dxa"/>
            <w:vAlign w:val="bottom"/>
            <w:gridSpan w:val="3"/>
          </w:tcPr>
          <w:p>
            <w:pPr>
              <w:ind w:left="400"/>
              <w:spacing w:after="0"/>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20"/>
                <w:szCs w:val="20"/>
                <w:color w:val="auto"/>
              </w:rPr>
            </w:pPr>
            <w:r>
              <w:rPr>
                <w:rFonts w:ascii="Arial" w:cs="Arial" w:eastAsia="Arial" w:hAnsi="Arial"/>
                <w:sz w:val="13"/>
                <w:szCs w:val="13"/>
                <w:b w:val="1"/>
                <w:bCs w:val="1"/>
                <w:color w:val="auto"/>
                <w:w w:val="82"/>
              </w:rPr>
              <w:t>$</w:t>
            </w:r>
          </w:p>
        </w:tc>
        <w:tc>
          <w:tcPr>
            <w:tcW w:w="700" w:type="dxa"/>
            <w:vAlign w:val="bottom"/>
          </w:tcPr>
          <w:p>
            <w:pPr>
              <w:jc w:val="right"/>
              <w:spacing w:after="0"/>
              <w:rPr>
                <w:sz w:val="20"/>
                <w:szCs w:val="20"/>
                <w:color w:val="auto"/>
              </w:rPr>
            </w:pPr>
            <w:r>
              <w:rPr>
                <w:rFonts w:ascii="Arial" w:cs="Arial" w:eastAsia="Arial" w:hAnsi="Arial"/>
                <w:sz w:val="13"/>
                <w:szCs w:val="13"/>
                <w:b w:val="1"/>
                <w:bCs w:val="1"/>
                <w:color w:val="auto"/>
              </w:rPr>
              <w:t>20</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0"/>
                <w:szCs w:val="20"/>
                <w:color w:val="auto"/>
              </w:rPr>
            </w:pPr>
            <w:r>
              <w:rPr>
                <w:rFonts w:ascii="Arial" w:cs="Arial" w:eastAsia="Arial" w:hAnsi="Arial"/>
                <w:sz w:val="13"/>
                <w:szCs w:val="13"/>
                <w:b w:val="1"/>
                <w:bCs w:val="1"/>
                <w:color w:val="auto"/>
              </w:rPr>
              <w:t>$</w:t>
            </w:r>
          </w:p>
        </w:tc>
        <w:tc>
          <w:tcPr>
            <w:tcW w:w="640" w:type="dxa"/>
            <w:vAlign w:val="bottom"/>
          </w:tcPr>
          <w:p>
            <w:pPr>
              <w:jc w:val="right"/>
              <w:ind w:right="13"/>
              <w:spacing w:after="0"/>
              <w:rPr>
                <w:sz w:val="20"/>
                <w:szCs w:val="20"/>
                <w:color w:val="auto"/>
              </w:rPr>
            </w:pPr>
            <w:r>
              <w:rPr>
                <w:rFonts w:ascii="Arial" w:cs="Arial" w:eastAsia="Arial" w:hAnsi="Arial"/>
                <w:sz w:val="13"/>
                <w:szCs w:val="13"/>
                <w:b w:val="1"/>
                <w:bCs w:val="1"/>
                <w:color w:val="auto"/>
              </w:rPr>
              <w:t>65,015</w:t>
            </w:r>
          </w:p>
        </w:tc>
        <w:tc>
          <w:tcPr>
            <w:tcW w:w="0" w:type="dxa"/>
            <w:vAlign w:val="bottom"/>
          </w:tcPr>
          <w:p>
            <w:pPr>
              <w:spacing w:after="0"/>
              <w:rPr>
                <w:sz w:val="1"/>
                <w:szCs w:val="1"/>
                <w:color w:val="auto"/>
              </w:rPr>
            </w:pPr>
          </w:p>
        </w:tc>
      </w:tr>
      <w:tr>
        <w:trPr>
          <w:trHeight w:val="162"/>
        </w:trPr>
        <w:tc>
          <w:tcPr>
            <w:tcW w:w="2520" w:type="dxa"/>
            <w:vAlign w:val="bottom"/>
            <w:shd w:val="clear" w:color="auto" w:fill="CFF0FC"/>
          </w:tcPr>
          <w:p>
            <w:pPr>
              <w:spacing w:after="0"/>
              <w:rPr>
                <w:sz w:val="20"/>
                <w:szCs w:val="20"/>
                <w:color w:val="auto"/>
              </w:rPr>
            </w:pPr>
            <w:r>
              <w:rPr>
                <w:rFonts w:ascii="Arial" w:cs="Arial" w:eastAsia="Arial" w:hAnsi="Arial"/>
                <w:sz w:val="13"/>
                <w:szCs w:val="13"/>
                <w:color w:val="auto"/>
              </w:rPr>
              <w:t>Repayment of subscription receivable</w:t>
            </w:r>
          </w:p>
        </w:tc>
        <w:tc>
          <w:tcPr>
            <w:tcW w:w="940" w:type="dxa"/>
            <w:vAlign w:val="bottom"/>
            <w:gridSpan w:val="3"/>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340" w:type="dxa"/>
            <w:vAlign w:val="bottom"/>
            <w:gridSpan w:val="3"/>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4"/>
                <w:szCs w:val="14"/>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410</w:t>
            </w:r>
          </w:p>
        </w:tc>
        <w:tc>
          <w:tcPr>
            <w:tcW w:w="1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80" w:type="dxa"/>
            <w:vAlign w:val="bottom"/>
            <w:gridSpan w:val="3"/>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60" w:type="dxa"/>
            <w:vAlign w:val="bottom"/>
            <w:gridSpan w:val="3"/>
            <w:shd w:val="clear" w:color="auto" w:fill="CFF0FC"/>
          </w:tcPr>
          <w:p>
            <w:pPr>
              <w:ind w:left="40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4"/>
                <w:szCs w:val="14"/>
                <w:color w:val="auto"/>
              </w:rPr>
            </w:pPr>
          </w:p>
        </w:tc>
        <w:tc>
          <w:tcPr>
            <w:tcW w:w="920" w:type="dxa"/>
            <w:vAlign w:val="bottom"/>
            <w:gridSpan w:val="3"/>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640" w:type="dxa"/>
            <w:vAlign w:val="bottom"/>
            <w:tcBorders>
              <w:right w:val="single" w:sz="8" w:color="CFF0FC"/>
            </w:tcBorders>
            <w:shd w:val="clear" w:color="auto" w:fill="CFF0FC"/>
          </w:tcPr>
          <w:p>
            <w:pPr>
              <w:jc w:val="right"/>
              <w:ind w:right="13"/>
              <w:spacing w:after="0"/>
              <w:rPr>
                <w:sz w:val="20"/>
                <w:szCs w:val="20"/>
                <w:color w:val="auto"/>
              </w:rPr>
            </w:pPr>
            <w:r>
              <w:rPr>
                <w:rFonts w:ascii="Arial" w:cs="Arial" w:eastAsia="Arial" w:hAnsi="Arial"/>
                <w:sz w:val="13"/>
                <w:szCs w:val="13"/>
                <w:color w:val="auto"/>
              </w:rPr>
              <w:t>410</w:t>
            </w:r>
          </w:p>
        </w:tc>
        <w:tc>
          <w:tcPr>
            <w:tcW w:w="0" w:type="dxa"/>
            <w:vAlign w:val="bottom"/>
          </w:tcPr>
          <w:p>
            <w:pPr>
              <w:spacing w:after="0"/>
              <w:rPr>
                <w:sz w:val="1"/>
                <w:szCs w:val="1"/>
                <w:color w:val="auto"/>
              </w:rPr>
            </w:pPr>
          </w:p>
        </w:tc>
      </w:tr>
      <w:tr>
        <w:trPr>
          <w:trHeight w:val="162"/>
        </w:trPr>
        <w:tc>
          <w:tcPr>
            <w:tcW w:w="2520" w:type="dxa"/>
            <w:vAlign w:val="bottom"/>
          </w:tcPr>
          <w:p>
            <w:pPr>
              <w:spacing w:after="0"/>
              <w:rPr>
                <w:sz w:val="20"/>
                <w:szCs w:val="20"/>
                <w:color w:val="auto"/>
              </w:rPr>
            </w:pPr>
            <w:r>
              <w:rPr>
                <w:rFonts w:ascii="Arial" w:cs="Arial" w:eastAsia="Arial" w:hAnsi="Arial"/>
                <w:sz w:val="13"/>
                <w:szCs w:val="13"/>
                <w:color w:val="auto"/>
              </w:rPr>
              <w:t>Stock-based compensation</w:t>
            </w:r>
          </w:p>
        </w:tc>
        <w:tc>
          <w:tcPr>
            <w:tcW w:w="940" w:type="dxa"/>
            <w:vAlign w:val="bottom"/>
            <w:gridSpan w:val="3"/>
          </w:tcPr>
          <w:p>
            <w:pPr>
              <w:jc w:val="right"/>
              <w:ind w:right="22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40" w:type="dxa"/>
            <w:vAlign w:val="bottom"/>
          </w:tcPr>
          <w:p>
            <w:pPr>
              <w:jc w:val="right"/>
              <w:spacing w:after="0"/>
              <w:rPr>
                <w:sz w:val="20"/>
                <w:szCs w:val="20"/>
                <w:color w:val="auto"/>
              </w:rPr>
            </w:pPr>
            <w:r>
              <w:rPr>
                <w:rFonts w:ascii="Arial" w:cs="Arial" w:eastAsia="Arial" w:hAnsi="Arial"/>
                <w:sz w:val="13"/>
                <w:szCs w:val="13"/>
                <w:color w:val="auto"/>
              </w:rPr>
              <w:t>998</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gridSpan w:val="3"/>
          </w:tcPr>
          <w:p>
            <w:pPr>
              <w:jc w:val="right"/>
              <w:ind w:right="240"/>
              <w:spacing w:after="0"/>
              <w:rPr>
                <w:sz w:val="20"/>
                <w:szCs w:val="20"/>
                <w:color w:val="auto"/>
              </w:rPr>
            </w:pPr>
            <w:r>
              <w:rPr>
                <w:rFonts w:ascii="Arial" w:cs="Arial" w:eastAsia="Arial" w:hAnsi="Arial"/>
                <w:sz w:val="13"/>
                <w:szCs w:val="13"/>
                <w:color w:val="auto"/>
              </w:rPr>
              <w:t>—</w:t>
            </w:r>
          </w:p>
        </w:tc>
        <w:tc>
          <w:tcPr>
            <w:tcW w:w="680" w:type="dxa"/>
            <w:vAlign w:val="bottom"/>
          </w:tcPr>
          <w:p>
            <w:pPr>
              <w:jc w:val="right"/>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gridSpan w:val="3"/>
          </w:tcPr>
          <w:p>
            <w:pPr>
              <w:ind w:left="4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920" w:type="dxa"/>
            <w:vAlign w:val="bottom"/>
            <w:gridSpan w:val="3"/>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640" w:type="dxa"/>
            <w:vAlign w:val="bottom"/>
          </w:tcPr>
          <w:p>
            <w:pPr>
              <w:jc w:val="right"/>
              <w:ind w:right="13"/>
              <w:spacing w:after="0"/>
              <w:rPr>
                <w:sz w:val="20"/>
                <w:szCs w:val="20"/>
                <w:color w:val="auto"/>
              </w:rPr>
            </w:pPr>
            <w:r>
              <w:rPr>
                <w:rFonts w:ascii="Arial" w:cs="Arial" w:eastAsia="Arial" w:hAnsi="Arial"/>
                <w:sz w:val="13"/>
                <w:szCs w:val="13"/>
                <w:color w:val="auto"/>
              </w:rPr>
              <w:t>998</w:t>
            </w:r>
          </w:p>
        </w:tc>
        <w:tc>
          <w:tcPr>
            <w:tcW w:w="0" w:type="dxa"/>
            <w:vAlign w:val="bottom"/>
          </w:tcPr>
          <w:p>
            <w:pPr>
              <w:spacing w:after="0"/>
              <w:rPr>
                <w:sz w:val="1"/>
                <w:szCs w:val="1"/>
                <w:color w:val="auto"/>
              </w:rPr>
            </w:pPr>
          </w:p>
        </w:tc>
      </w:tr>
      <w:tr>
        <w:trPr>
          <w:trHeight w:val="162"/>
        </w:trPr>
        <w:tc>
          <w:tcPr>
            <w:tcW w:w="2520" w:type="dxa"/>
            <w:vAlign w:val="bottom"/>
            <w:shd w:val="clear" w:color="auto" w:fill="CFF0FC"/>
          </w:tcPr>
          <w:p>
            <w:pPr>
              <w:spacing w:after="0"/>
              <w:rPr>
                <w:sz w:val="20"/>
                <w:szCs w:val="20"/>
                <w:color w:val="auto"/>
              </w:rPr>
            </w:pPr>
            <w:r>
              <w:rPr>
                <w:rFonts w:ascii="Arial" w:cs="Arial" w:eastAsia="Arial" w:hAnsi="Arial"/>
                <w:sz w:val="13"/>
                <w:szCs w:val="13"/>
                <w:color w:val="auto"/>
              </w:rPr>
              <w:t>Exercise of stock options</w:t>
            </w:r>
          </w:p>
        </w:tc>
        <w:tc>
          <w:tcPr>
            <w:tcW w:w="7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7,500</w:t>
            </w: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7</w:t>
            </w:r>
          </w:p>
        </w:tc>
        <w:tc>
          <w:tcPr>
            <w:tcW w:w="1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1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80" w:type="dxa"/>
            <w:vAlign w:val="bottom"/>
            <w:gridSpan w:val="3"/>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60" w:type="dxa"/>
            <w:vAlign w:val="bottom"/>
            <w:gridSpan w:val="3"/>
            <w:shd w:val="clear" w:color="auto" w:fill="CFF0FC"/>
          </w:tcPr>
          <w:p>
            <w:pPr>
              <w:ind w:left="40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4"/>
                <w:szCs w:val="14"/>
                <w:color w:val="auto"/>
              </w:rPr>
            </w:pPr>
          </w:p>
        </w:tc>
        <w:tc>
          <w:tcPr>
            <w:tcW w:w="920" w:type="dxa"/>
            <w:vAlign w:val="bottom"/>
            <w:gridSpan w:val="3"/>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640" w:type="dxa"/>
            <w:vAlign w:val="bottom"/>
            <w:tcBorders>
              <w:right w:val="single" w:sz="8" w:color="CFF0FC"/>
            </w:tcBorders>
            <w:shd w:val="clear" w:color="auto" w:fill="CFF0FC"/>
          </w:tcPr>
          <w:p>
            <w:pPr>
              <w:jc w:val="right"/>
              <w:ind w:right="13"/>
              <w:spacing w:after="0"/>
              <w:rPr>
                <w:sz w:val="20"/>
                <w:szCs w:val="20"/>
                <w:color w:val="auto"/>
              </w:rPr>
            </w:pPr>
            <w:r>
              <w:rPr>
                <w:rFonts w:ascii="Arial" w:cs="Arial" w:eastAsia="Arial" w:hAnsi="Arial"/>
                <w:sz w:val="13"/>
                <w:szCs w:val="13"/>
                <w:color w:val="auto"/>
              </w:rPr>
              <w:t>7</w:t>
            </w:r>
          </w:p>
        </w:tc>
        <w:tc>
          <w:tcPr>
            <w:tcW w:w="0" w:type="dxa"/>
            <w:vAlign w:val="bottom"/>
          </w:tcPr>
          <w:p>
            <w:pPr>
              <w:spacing w:after="0"/>
              <w:rPr>
                <w:sz w:val="1"/>
                <w:szCs w:val="1"/>
                <w:color w:val="auto"/>
              </w:rPr>
            </w:pPr>
          </w:p>
        </w:tc>
      </w:tr>
      <w:tr>
        <w:trPr>
          <w:trHeight w:val="162"/>
        </w:trPr>
        <w:tc>
          <w:tcPr>
            <w:tcW w:w="2520" w:type="dxa"/>
            <w:vAlign w:val="bottom"/>
          </w:tcPr>
          <w:p>
            <w:pPr>
              <w:spacing w:after="0"/>
              <w:rPr>
                <w:sz w:val="20"/>
                <w:szCs w:val="20"/>
                <w:color w:val="auto"/>
              </w:rPr>
            </w:pPr>
            <w:r>
              <w:rPr>
                <w:rFonts w:ascii="Arial" w:cs="Arial" w:eastAsia="Arial" w:hAnsi="Arial"/>
                <w:sz w:val="13"/>
                <w:szCs w:val="13"/>
                <w:color w:val="auto"/>
              </w:rPr>
              <w:t>Net loss</w:t>
            </w:r>
          </w:p>
        </w:tc>
        <w:tc>
          <w:tcPr>
            <w:tcW w:w="720" w:type="dxa"/>
            <w:vAlign w:val="bottom"/>
          </w:tcPr>
          <w:p>
            <w:pPr>
              <w:jc w:val="right"/>
              <w:spacing w:after="0"/>
              <w:rPr>
                <w:sz w:val="20"/>
                <w:szCs w:val="20"/>
                <w:color w:val="auto"/>
              </w:rPr>
            </w:pPr>
            <w:r>
              <w:rPr>
                <w:rFonts w:ascii="Arial" w:cs="Arial" w:eastAsia="Arial" w:hAnsi="Arial"/>
                <w:sz w:val="13"/>
                <w:szCs w:val="13"/>
                <w:color w:val="auto"/>
              </w:rPr>
              <w:t>—</w:t>
            </w:r>
          </w:p>
        </w:tc>
        <w:tc>
          <w:tcPr>
            <w:tcW w:w="220" w:type="dxa"/>
            <w:vAlign w:val="bottom"/>
            <w:gridSpan w:val="2"/>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40" w:type="dxa"/>
            <w:vAlign w:val="bottom"/>
          </w:tcPr>
          <w:p>
            <w:pPr>
              <w:jc w:val="right"/>
              <w:spacing w:after="0"/>
              <w:rPr>
                <w:sz w:val="20"/>
                <w:szCs w:val="20"/>
                <w:color w:val="auto"/>
              </w:rPr>
            </w:pPr>
            <w:r>
              <w:rPr>
                <w:rFonts w:ascii="Arial" w:cs="Arial" w:eastAsia="Arial" w:hAnsi="Arial"/>
                <w:sz w:val="13"/>
                <w:szCs w:val="13"/>
                <w:color w:val="auto"/>
              </w:rPr>
              <w:t>—</w:t>
            </w:r>
          </w:p>
        </w:tc>
        <w:tc>
          <w:tcPr>
            <w:tcW w:w="200" w:type="dxa"/>
            <w:vAlign w:val="bottom"/>
            <w:gridSpan w:val="2"/>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3"/>
                <w:szCs w:val="13"/>
                <w:color w:val="auto"/>
              </w:rPr>
              <w:t>(9,822)</w:t>
            </w: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gridSpan w:val="3"/>
          </w:tcPr>
          <w:p>
            <w:pPr>
              <w:ind w:left="4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920" w:type="dxa"/>
            <w:vAlign w:val="bottom"/>
            <w:gridSpan w:val="3"/>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3"/>
                <w:szCs w:val="13"/>
                <w:color w:val="auto"/>
              </w:rPr>
              <w:t>(9,822)</w:t>
            </w:r>
          </w:p>
        </w:tc>
        <w:tc>
          <w:tcPr>
            <w:tcW w:w="0" w:type="dxa"/>
            <w:vAlign w:val="bottom"/>
          </w:tcPr>
          <w:p>
            <w:pPr>
              <w:spacing w:after="0"/>
              <w:rPr>
                <w:sz w:val="1"/>
                <w:szCs w:val="1"/>
                <w:color w:val="auto"/>
              </w:rPr>
            </w:pPr>
          </w:p>
        </w:tc>
      </w:tr>
      <w:tr>
        <w:trPr>
          <w:trHeight w:val="20"/>
        </w:trPr>
        <w:tc>
          <w:tcPr>
            <w:tcW w:w="2520" w:type="dxa"/>
            <w:vAlign w:val="bottom"/>
            <w:vMerge w:val="restart"/>
            <w:shd w:val="clear" w:color="auto" w:fill="CFF0FC"/>
          </w:tcPr>
          <w:p>
            <w:pPr>
              <w:spacing w:after="0"/>
              <w:rPr>
                <w:sz w:val="20"/>
                <w:szCs w:val="20"/>
                <w:color w:val="auto"/>
              </w:rPr>
            </w:pPr>
            <w:r>
              <w:rPr>
                <w:rFonts w:ascii="Arial" w:cs="Arial" w:eastAsia="Arial" w:hAnsi="Arial"/>
                <w:sz w:val="13"/>
                <w:szCs w:val="13"/>
                <w:b w:val="1"/>
                <w:bCs w:val="1"/>
                <w:color w:val="auto"/>
              </w:rPr>
              <w:t>March 31, 2020</w:t>
            </w:r>
          </w:p>
        </w:tc>
        <w:tc>
          <w:tcPr>
            <w:tcW w:w="72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tcBorders>
              <w:right w:val="single" w:sz="8" w:color="CFF0FC"/>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2520" w:type="dxa"/>
            <w:vAlign w:val="bottom"/>
            <w:vMerge w:val="continue"/>
            <w:shd w:val="clear" w:color="auto" w:fill="CFF0FC"/>
          </w:tcPr>
          <w:p>
            <w:pPr>
              <w:spacing w:after="0"/>
              <w:rPr>
                <w:sz w:val="13"/>
                <w:szCs w:val="13"/>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3"/>
                <w:szCs w:val="13"/>
                <w:b w:val="1"/>
                <w:bCs w:val="1"/>
                <w:color w:val="auto"/>
              </w:rPr>
              <w:t>25,919,637</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3"/>
                <w:szCs w:val="13"/>
                <w:b w:val="1"/>
                <w:bCs w:val="1"/>
                <w:color w:val="auto"/>
              </w:rPr>
              <w:t>3</w:t>
            </w:r>
          </w:p>
        </w:tc>
        <w:tc>
          <w:tcPr>
            <w:tcW w:w="10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3"/>
                <w:szCs w:val="13"/>
                <w:b w:val="1"/>
                <w:bCs w:val="1"/>
                <w:color w:val="auto"/>
              </w:rPr>
              <w:t>127,599</w:t>
            </w:r>
          </w:p>
        </w:tc>
        <w:tc>
          <w:tcPr>
            <w:tcW w:w="10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660" w:type="dxa"/>
            <w:vAlign w:val="bottom"/>
            <w:gridSpan w:val="2"/>
            <w:shd w:val="clear" w:color="auto" w:fill="CFF0FC"/>
          </w:tcPr>
          <w:p>
            <w:pPr>
              <w:jc w:val="right"/>
              <w:ind w:right="60"/>
              <w:spacing w:after="0"/>
              <w:rPr>
                <w:sz w:val="20"/>
                <w:szCs w:val="20"/>
                <w:color w:val="auto"/>
              </w:rPr>
            </w:pPr>
            <w:r>
              <w:rPr>
                <w:rFonts w:ascii="Arial" w:cs="Arial" w:eastAsia="Arial" w:hAnsi="Arial"/>
                <w:sz w:val="13"/>
                <w:szCs w:val="13"/>
                <w:b w:val="1"/>
                <w:bCs w:val="1"/>
                <w:color w:val="auto"/>
              </w:rPr>
              <w:t>(71,014)</w:t>
            </w:r>
          </w:p>
        </w:tc>
        <w:tc>
          <w:tcPr>
            <w:tcW w:w="120" w:type="dxa"/>
            <w:vAlign w:val="bottom"/>
            <w:shd w:val="clear" w:color="auto" w:fill="CFF0FC"/>
          </w:tcPr>
          <w:p>
            <w:pPr>
              <w:spacing w:after="0"/>
              <w:rPr>
                <w:sz w:val="13"/>
                <w:szCs w:val="13"/>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3"/>
                <w:szCs w:val="13"/>
                <w:b w:val="1"/>
                <w:bCs w:val="1"/>
                <w:color w:val="auto"/>
              </w:rPr>
              <w:t>105,144</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760" w:type="dxa"/>
            <w:vAlign w:val="bottom"/>
            <w:gridSpan w:val="3"/>
            <w:shd w:val="clear" w:color="auto" w:fill="CFF0FC"/>
          </w:tcPr>
          <w:p>
            <w:pPr>
              <w:ind w:left="40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3"/>
                <w:szCs w:val="13"/>
                <w:b w:val="1"/>
                <w:bCs w:val="1"/>
                <w:color w:val="auto"/>
              </w:rPr>
              <w:t>20</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640" w:type="dxa"/>
            <w:vAlign w:val="bottom"/>
            <w:tcBorders>
              <w:right w:val="single" w:sz="8" w:color="CFF0FC"/>
            </w:tcBorders>
            <w:shd w:val="clear" w:color="auto" w:fill="CFF0FC"/>
          </w:tcPr>
          <w:p>
            <w:pPr>
              <w:jc w:val="right"/>
              <w:ind w:right="13"/>
              <w:spacing w:after="0"/>
              <w:rPr>
                <w:sz w:val="20"/>
                <w:szCs w:val="20"/>
                <w:color w:val="auto"/>
              </w:rPr>
            </w:pPr>
            <w:r>
              <w:rPr>
                <w:rFonts w:ascii="Arial" w:cs="Arial" w:eastAsia="Arial" w:hAnsi="Arial"/>
                <w:sz w:val="13"/>
                <w:szCs w:val="13"/>
                <w:b w:val="1"/>
                <w:bCs w:val="1"/>
                <w:color w:val="auto"/>
              </w:rPr>
              <w:t>56,608</w:t>
            </w:r>
          </w:p>
        </w:tc>
        <w:tc>
          <w:tcPr>
            <w:tcW w:w="0" w:type="dxa"/>
            <w:vAlign w:val="bottom"/>
          </w:tcPr>
          <w:p>
            <w:pPr>
              <w:spacing w:after="0"/>
              <w:rPr>
                <w:sz w:val="1"/>
                <w:szCs w:val="1"/>
                <w:color w:val="auto"/>
              </w:rPr>
            </w:pPr>
          </w:p>
        </w:tc>
      </w:tr>
      <w:tr>
        <w:trPr>
          <w:trHeight w:val="162"/>
        </w:trPr>
        <w:tc>
          <w:tcPr>
            <w:tcW w:w="2520" w:type="dxa"/>
            <w:vAlign w:val="bottom"/>
          </w:tcPr>
          <w:p>
            <w:pPr>
              <w:spacing w:after="0"/>
              <w:rPr>
                <w:sz w:val="20"/>
                <w:szCs w:val="20"/>
                <w:color w:val="auto"/>
              </w:rPr>
            </w:pPr>
            <w:r>
              <w:rPr>
                <w:rFonts w:ascii="Arial" w:cs="Arial" w:eastAsia="Arial" w:hAnsi="Arial"/>
                <w:sz w:val="13"/>
                <w:szCs w:val="13"/>
                <w:color w:val="auto"/>
              </w:rPr>
              <w:t>Stock-based compensation</w:t>
            </w:r>
          </w:p>
        </w:tc>
        <w:tc>
          <w:tcPr>
            <w:tcW w:w="940" w:type="dxa"/>
            <w:vAlign w:val="bottom"/>
            <w:gridSpan w:val="3"/>
          </w:tcPr>
          <w:p>
            <w:pPr>
              <w:jc w:val="right"/>
              <w:ind w:right="22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40" w:type="dxa"/>
            <w:vAlign w:val="bottom"/>
          </w:tcPr>
          <w:p>
            <w:pPr>
              <w:jc w:val="right"/>
              <w:spacing w:after="0"/>
              <w:rPr>
                <w:sz w:val="20"/>
                <w:szCs w:val="20"/>
                <w:color w:val="auto"/>
              </w:rPr>
            </w:pPr>
            <w:r>
              <w:rPr>
                <w:rFonts w:ascii="Arial" w:cs="Arial" w:eastAsia="Arial" w:hAnsi="Arial"/>
                <w:sz w:val="13"/>
                <w:szCs w:val="13"/>
                <w:color w:val="auto"/>
              </w:rPr>
              <w:t>1,252</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gridSpan w:val="3"/>
          </w:tcPr>
          <w:p>
            <w:pPr>
              <w:jc w:val="right"/>
              <w:ind w:right="240"/>
              <w:spacing w:after="0"/>
              <w:rPr>
                <w:sz w:val="20"/>
                <w:szCs w:val="20"/>
                <w:color w:val="auto"/>
              </w:rPr>
            </w:pPr>
            <w:r>
              <w:rPr>
                <w:rFonts w:ascii="Arial" w:cs="Arial" w:eastAsia="Arial" w:hAnsi="Arial"/>
                <w:sz w:val="13"/>
                <w:szCs w:val="13"/>
                <w:color w:val="auto"/>
              </w:rPr>
              <w:t>—</w:t>
            </w:r>
          </w:p>
        </w:tc>
        <w:tc>
          <w:tcPr>
            <w:tcW w:w="680" w:type="dxa"/>
            <w:vAlign w:val="bottom"/>
          </w:tcPr>
          <w:p>
            <w:pPr>
              <w:jc w:val="right"/>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gridSpan w:val="3"/>
          </w:tcPr>
          <w:p>
            <w:pPr>
              <w:ind w:left="4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920" w:type="dxa"/>
            <w:vAlign w:val="bottom"/>
            <w:gridSpan w:val="3"/>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640" w:type="dxa"/>
            <w:vAlign w:val="bottom"/>
          </w:tcPr>
          <w:p>
            <w:pPr>
              <w:jc w:val="right"/>
              <w:ind w:right="13"/>
              <w:spacing w:after="0"/>
              <w:rPr>
                <w:sz w:val="20"/>
                <w:szCs w:val="20"/>
                <w:color w:val="auto"/>
              </w:rPr>
            </w:pPr>
            <w:r>
              <w:rPr>
                <w:rFonts w:ascii="Arial" w:cs="Arial" w:eastAsia="Arial" w:hAnsi="Arial"/>
                <w:sz w:val="13"/>
                <w:szCs w:val="13"/>
                <w:color w:val="auto"/>
              </w:rPr>
              <w:t>1,252</w:t>
            </w:r>
          </w:p>
        </w:tc>
        <w:tc>
          <w:tcPr>
            <w:tcW w:w="0" w:type="dxa"/>
            <w:vAlign w:val="bottom"/>
          </w:tcPr>
          <w:p>
            <w:pPr>
              <w:spacing w:after="0"/>
              <w:rPr>
                <w:sz w:val="1"/>
                <w:szCs w:val="1"/>
                <w:color w:val="auto"/>
              </w:rPr>
            </w:pPr>
          </w:p>
        </w:tc>
      </w:tr>
      <w:tr>
        <w:trPr>
          <w:trHeight w:val="162"/>
        </w:trPr>
        <w:tc>
          <w:tcPr>
            <w:tcW w:w="2520" w:type="dxa"/>
            <w:vAlign w:val="bottom"/>
            <w:shd w:val="clear" w:color="auto" w:fill="CFF0FC"/>
          </w:tcPr>
          <w:p>
            <w:pPr>
              <w:spacing w:after="0"/>
              <w:rPr>
                <w:sz w:val="20"/>
                <w:szCs w:val="20"/>
                <w:color w:val="auto"/>
              </w:rPr>
            </w:pPr>
            <w:r>
              <w:rPr>
                <w:rFonts w:ascii="Arial" w:cs="Arial" w:eastAsia="Arial" w:hAnsi="Arial"/>
                <w:sz w:val="13"/>
                <w:szCs w:val="13"/>
                <w:color w:val="auto"/>
              </w:rPr>
              <w:t>Net loss</w:t>
            </w:r>
          </w:p>
        </w:tc>
        <w:tc>
          <w:tcPr>
            <w:tcW w:w="940" w:type="dxa"/>
            <w:vAlign w:val="bottom"/>
            <w:gridSpan w:val="3"/>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340" w:type="dxa"/>
            <w:vAlign w:val="bottom"/>
            <w:gridSpan w:val="3"/>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1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60" w:type="dxa"/>
            <w:vAlign w:val="bottom"/>
            <w:gridSpan w:val="2"/>
            <w:shd w:val="clear" w:color="auto" w:fill="CFF0FC"/>
          </w:tcPr>
          <w:p>
            <w:pPr>
              <w:jc w:val="right"/>
              <w:ind w:right="60"/>
              <w:spacing w:after="0"/>
              <w:rPr>
                <w:sz w:val="20"/>
                <w:szCs w:val="20"/>
                <w:color w:val="auto"/>
              </w:rPr>
            </w:pPr>
            <w:r>
              <w:rPr>
                <w:rFonts w:ascii="Arial" w:cs="Arial" w:eastAsia="Arial" w:hAnsi="Arial"/>
                <w:sz w:val="13"/>
                <w:szCs w:val="13"/>
                <w:color w:val="auto"/>
              </w:rPr>
              <w:t>(9,409)</w:t>
            </w: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60" w:type="dxa"/>
            <w:vAlign w:val="bottom"/>
            <w:gridSpan w:val="3"/>
            <w:shd w:val="clear" w:color="auto" w:fill="CFF0FC"/>
          </w:tcPr>
          <w:p>
            <w:pPr>
              <w:ind w:left="40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4"/>
                <w:szCs w:val="14"/>
                <w:color w:val="auto"/>
              </w:rPr>
            </w:pPr>
          </w:p>
        </w:tc>
        <w:tc>
          <w:tcPr>
            <w:tcW w:w="920" w:type="dxa"/>
            <w:vAlign w:val="bottom"/>
            <w:gridSpan w:val="3"/>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4"/>
                <w:szCs w:val="14"/>
                <w:color w:val="auto"/>
              </w:rPr>
            </w:pPr>
          </w:p>
        </w:tc>
        <w:tc>
          <w:tcPr>
            <w:tcW w:w="64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3"/>
                <w:szCs w:val="13"/>
                <w:color w:val="auto"/>
              </w:rPr>
              <w:t>(9,409)</w:t>
            </w:r>
          </w:p>
        </w:tc>
        <w:tc>
          <w:tcPr>
            <w:tcW w:w="0" w:type="dxa"/>
            <w:vAlign w:val="bottom"/>
          </w:tcPr>
          <w:p>
            <w:pPr>
              <w:spacing w:after="0"/>
              <w:rPr>
                <w:sz w:val="1"/>
                <w:szCs w:val="1"/>
                <w:color w:val="auto"/>
              </w:rPr>
            </w:pPr>
          </w:p>
        </w:tc>
      </w:tr>
      <w:tr>
        <w:trPr>
          <w:trHeight w:val="162"/>
        </w:trPr>
        <w:tc>
          <w:tcPr>
            <w:tcW w:w="2520" w:type="dxa"/>
            <w:vAlign w:val="bottom"/>
            <w:tcBorders>
              <w:bottom w:val="single" w:sz="8" w:color="CFF0FC"/>
            </w:tcBorders>
          </w:tcPr>
          <w:p>
            <w:pPr>
              <w:spacing w:after="0"/>
              <w:rPr>
                <w:sz w:val="20"/>
                <w:szCs w:val="20"/>
                <w:color w:val="auto"/>
              </w:rPr>
            </w:pPr>
            <w:r>
              <w:rPr>
                <w:rFonts w:ascii="Arial" w:cs="Arial" w:eastAsia="Arial" w:hAnsi="Arial"/>
                <w:sz w:val="13"/>
                <w:szCs w:val="13"/>
                <w:color w:val="auto"/>
              </w:rPr>
              <w:t>Unrealized gain on marketable securities</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220" w:type="dxa"/>
            <w:vAlign w:val="bottom"/>
            <w:tcBorders>
              <w:bottom w:val="single" w:sz="8" w:color="CFF0FC"/>
            </w:tcBorders>
            <w:gridSpan w:val="2"/>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FF0FC"/>
            </w:tcBorders>
          </w:tcPr>
          <w:p>
            <w:pPr>
              <w:spacing w:after="0"/>
              <w:rPr>
                <w:sz w:val="14"/>
                <w:szCs w:val="14"/>
                <w:color w:val="auto"/>
              </w:rPr>
            </w:pPr>
          </w:p>
        </w:tc>
        <w:tc>
          <w:tcPr>
            <w:tcW w:w="100" w:type="dxa"/>
            <w:vAlign w:val="bottom"/>
            <w:tcBorders>
              <w:bottom w:val="single" w:sz="8" w:color="CFF0FC"/>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200" w:type="dxa"/>
            <w:vAlign w:val="bottom"/>
            <w:tcBorders>
              <w:bottom w:val="single" w:sz="8" w:color="CFF0FC"/>
            </w:tcBorders>
            <w:gridSpan w:val="2"/>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FF0FC"/>
            </w:tcBorders>
          </w:tcPr>
          <w:p>
            <w:pPr>
              <w:spacing w:after="0"/>
              <w:rPr>
                <w:sz w:val="14"/>
                <w:szCs w:val="14"/>
                <w:color w:val="auto"/>
              </w:rPr>
            </w:pPr>
          </w:p>
        </w:tc>
        <w:tc>
          <w:tcPr>
            <w:tcW w:w="12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220" w:type="dxa"/>
            <w:vAlign w:val="bottom"/>
            <w:tcBorders>
              <w:bottom w:val="single" w:sz="8" w:color="CFF0FC"/>
            </w:tcBorders>
            <w:gridSpan w:val="2"/>
          </w:tcPr>
          <w:p>
            <w:pPr>
              <w:spacing w:after="0"/>
              <w:rPr>
                <w:sz w:val="14"/>
                <w:szCs w:val="14"/>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FF0FC"/>
            </w:tcBorders>
          </w:tcPr>
          <w:p>
            <w:pPr>
              <w:spacing w:after="0"/>
              <w:rPr>
                <w:sz w:val="14"/>
                <w:szCs w:val="14"/>
                <w:color w:val="auto"/>
              </w:rPr>
            </w:pPr>
          </w:p>
        </w:tc>
        <w:tc>
          <w:tcPr>
            <w:tcW w:w="100" w:type="dxa"/>
            <w:vAlign w:val="bottom"/>
            <w:tcBorders>
              <w:bottom w:val="single" w:sz="8" w:color="CFF0FC"/>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ind w:left="400"/>
              <w:spacing w:after="0"/>
              <w:rPr>
                <w:sz w:val="20"/>
                <w:szCs w:val="20"/>
                <w:color w:val="auto"/>
              </w:rPr>
            </w:pPr>
            <w:r>
              <w:rPr>
                <w:rFonts w:ascii="Arial" w:cs="Arial" w:eastAsia="Arial" w:hAnsi="Arial"/>
                <w:sz w:val="13"/>
                <w:szCs w:val="13"/>
                <w:color w:val="auto"/>
                <w:w w:val="91"/>
              </w:rPr>
              <w:t>—</w:t>
            </w:r>
          </w:p>
        </w:tc>
        <w:tc>
          <w:tcPr>
            <w:tcW w:w="220" w:type="dxa"/>
            <w:vAlign w:val="bottom"/>
            <w:tcBorders>
              <w:bottom w:val="single" w:sz="8" w:color="CFF0FC"/>
            </w:tcBorders>
            <w:gridSpan w:val="2"/>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12</w:t>
            </w:r>
          </w:p>
        </w:tc>
        <w:tc>
          <w:tcPr>
            <w:tcW w:w="120" w:type="dxa"/>
            <w:vAlign w:val="bottom"/>
            <w:tcBorders>
              <w:bottom w:val="single" w:sz="8" w:color="CFF0FC"/>
            </w:tcBorders>
          </w:tcPr>
          <w:p>
            <w:pPr>
              <w:spacing w:after="0"/>
              <w:rPr>
                <w:sz w:val="14"/>
                <w:szCs w:val="14"/>
                <w:color w:val="auto"/>
              </w:rPr>
            </w:pPr>
          </w:p>
        </w:tc>
        <w:tc>
          <w:tcPr>
            <w:tcW w:w="10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3"/>
              <w:spacing w:after="0"/>
              <w:rPr>
                <w:sz w:val="20"/>
                <w:szCs w:val="20"/>
                <w:color w:val="auto"/>
              </w:rPr>
            </w:pPr>
            <w:r>
              <w:rPr>
                <w:rFonts w:ascii="Arial" w:cs="Arial" w:eastAsia="Arial" w:hAnsi="Arial"/>
                <w:sz w:val="13"/>
                <w:szCs w:val="13"/>
                <w:color w:val="auto"/>
              </w:rPr>
              <w:t>12</w:t>
            </w:r>
          </w:p>
        </w:tc>
        <w:tc>
          <w:tcPr>
            <w:tcW w:w="0" w:type="dxa"/>
            <w:vAlign w:val="bottom"/>
          </w:tcPr>
          <w:p>
            <w:pPr>
              <w:spacing w:after="0"/>
              <w:rPr>
                <w:sz w:val="1"/>
                <w:szCs w:val="1"/>
                <w:color w:val="auto"/>
              </w:rPr>
            </w:pPr>
          </w:p>
        </w:tc>
      </w:tr>
      <w:tr>
        <w:trPr>
          <w:trHeight w:val="155"/>
        </w:trPr>
        <w:tc>
          <w:tcPr>
            <w:tcW w:w="2520" w:type="dxa"/>
            <w:vAlign w:val="bottom"/>
            <w:shd w:val="clear" w:color="auto" w:fill="CFF0FC"/>
          </w:tcPr>
          <w:p>
            <w:pPr>
              <w:spacing w:after="0"/>
              <w:rPr>
                <w:sz w:val="20"/>
                <w:szCs w:val="20"/>
                <w:color w:val="auto"/>
              </w:rPr>
            </w:pPr>
            <w:r>
              <w:rPr>
                <w:rFonts w:ascii="Arial" w:cs="Arial" w:eastAsia="Arial" w:hAnsi="Arial"/>
                <w:sz w:val="13"/>
                <w:szCs w:val="13"/>
                <w:b w:val="1"/>
                <w:bCs w:val="1"/>
                <w:color w:val="auto"/>
              </w:rPr>
              <w:t>June 30, 2020</w:t>
            </w:r>
          </w:p>
        </w:tc>
        <w:tc>
          <w:tcPr>
            <w:tcW w:w="720" w:type="dxa"/>
            <w:vAlign w:val="bottom"/>
            <w:shd w:val="clear" w:color="auto" w:fill="CFF0FC"/>
          </w:tcPr>
          <w:p>
            <w:pPr>
              <w:jc w:val="right"/>
              <w:spacing w:after="0"/>
              <w:rPr>
                <w:sz w:val="20"/>
                <w:szCs w:val="20"/>
                <w:color w:val="auto"/>
              </w:rPr>
            </w:pPr>
            <w:r>
              <w:rPr>
                <w:rFonts w:ascii="Arial" w:cs="Arial" w:eastAsia="Arial" w:hAnsi="Arial"/>
                <w:sz w:val="13"/>
                <w:szCs w:val="13"/>
                <w:b w:val="1"/>
                <w:bCs w:val="1"/>
                <w:color w:val="auto"/>
              </w:rPr>
              <w:t>25,919,637</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3"/>
                <w:szCs w:val="13"/>
                <w:b w:val="1"/>
                <w:bCs w:val="1"/>
                <w:color w:val="auto"/>
                <w:w w:val="82"/>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3"/>
                <w:szCs w:val="13"/>
                <w:b w:val="1"/>
                <w:bCs w:val="1"/>
                <w:color w:val="auto"/>
              </w:rPr>
              <w:t>3</w:t>
            </w:r>
          </w:p>
        </w:tc>
        <w:tc>
          <w:tcPr>
            <w:tcW w:w="360" w:type="dxa"/>
            <w:vAlign w:val="bottom"/>
            <w:gridSpan w:val="3"/>
            <w:shd w:val="clear" w:color="auto" w:fill="CFF0FC"/>
          </w:tcPr>
          <w:p>
            <w:pPr>
              <w:jc w:val="right"/>
              <w:ind w:right="13"/>
              <w:spacing w:after="0"/>
              <w:rPr>
                <w:sz w:val="20"/>
                <w:szCs w:val="20"/>
                <w:color w:val="auto"/>
              </w:rPr>
            </w:pPr>
            <w:r>
              <w:rPr>
                <w:rFonts w:ascii="Arial" w:cs="Arial" w:eastAsia="Arial" w:hAnsi="Arial"/>
                <w:sz w:val="13"/>
                <w:szCs w:val="13"/>
                <w:b w:val="1"/>
                <w:bCs w:val="1"/>
                <w:color w:val="auto"/>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3"/>
                <w:szCs w:val="13"/>
                <w:b w:val="1"/>
                <w:bCs w:val="1"/>
                <w:color w:val="auto"/>
              </w:rPr>
              <w:t>128,851</w:t>
            </w:r>
          </w:p>
        </w:tc>
        <w:tc>
          <w:tcPr>
            <w:tcW w:w="10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20"/>
                <w:szCs w:val="20"/>
                <w:color w:val="auto"/>
              </w:rPr>
            </w:pPr>
            <w:r>
              <w:rPr>
                <w:rFonts w:ascii="Arial" w:cs="Arial" w:eastAsia="Arial" w:hAnsi="Arial"/>
                <w:sz w:val="13"/>
                <w:szCs w:val="13"/>
                <w:b w:val="1"/>
                <w:bCs w:val="1"/>
                <w:color w:val="auto"/>
                <w:w w:val="82"/>
              </w:rPr>
              <w:t>$</w:t>
            </w:r>
          </w:p>
        </w:tc>
        <w:tc>
          <w:tcPr>
            <w:tcW w:w="720" w:type="dxa"/>
            <w:vAlign w:val="bottom"/>
            <w:gridSpan w:val="2"/>
            <w:shd w:val="clear" w:color="auto" w:fill="CFF0FC"/>
          </w:tcPr>
          <w:p>
            <w:pPr>
              <w:jc w:val="right"/>
              <w:ind w:right="120"/>
              <w:spacing w:after="0"/>
              <w:rPr>
                <w:sz w:val="20"/>
                <w:szCs w:val="20"/>
                <w:color w:val="auto"/>
              </w:rPr>
            </w:pPr>
            <w:r>
              <w:rPr>
                <w:rFonts w:ascii="Arial" w:cs="Arial" w:eastAsia="Arial" w:hAnsi="Arial"/>
                <w:sz w:val="13"/>
                <w:szCs w:val="13"/>
                <w:b w:val="1"/>
                <w:bCs w:val="1"/>
                <w:color w:val="auto"/>
              </w:rPr>
              <w:t>—</w:t>
            </w:r>
          </w:p>
        </w:tc>
        <w:tc>
          <w:tcPr>
            <w:tcW w:w="240" w:type="dxa"/>
            <w:vAlign w:val="bottom"/>
            <w:gridSpan w:val="2"/>
            <w:shd w:val="clear" w:color="auto" w:fill="CFF0FC"/>
          </w:tcPr>
          <w:p>
            <w:pPr>
              <w:ind w:left="120"/>
              <w:spacing w:after="0"/>
              <w:rPr>
                <w:sz w:val="20"/>
                <w:szCs w:val="20"/>
                <w:color w:val="auto"/>
              </w:rPr>
            </w:pPr>
            <w:r>
              <w:rPr>
                <w:rFonts w:ascii="Arial" w:cs="Arial" w:eastAsia="Arial" w:hAnsi="Arial"/>
                <w:sz w:val="13"/>
                <w:szCs w:val="13"/>
                <w:b w:val="1"/>
                <w:bCs w:val="1"/>
                <w:color w:val="auto"/>
              </w:rPr>
              <w:t>$</w:t>
            </w:r>
          </w:p>
        </w:tc>
        <w:tc>
          <w:tcPr>
            <w:tcW w:w="660" w:type="dxa"/>
            <w:vAlign w:val="bottom"/>
            <w:gridSpan w:val="2"/>
            <w:shd w:val="clear" w:color="auto" w:fill="CFF0FC"/>
          </w:tcPr>
          <w:p>
            <w:pPr>
              <w:jc w:val="right"/>
              <w:ind w:right="60"/>
              <w:spacing w:after="0"/>
              <w:rPr>
                <w:sz w:val="20"/>
                <w:szCs w:val="20"/>
                <w:color w:val="auto"/>
              </w:rPr>
            </w:pPr>
            <w:r>
              <w:rPr>
                <w:rFonts w:ascii="Arial" w:cs="Arial" w:eastAsia="Arial" w:hAnsi="Arial"/>
                <w:sz w:val="13"/>
                <w:szCs w:val="13"/>
                <w:b w:val="1"/>
                <w:bCs w:val="1"/>
                <w:color w:val="auto"/>
              </w:rPr>
              <w:t>(80,423)</w:t>
            </w:r>
          </w:p>
        </w:tc>
        <w:tc>
          <w:tcPr>
            <w:tcW w:w="120" w:type="dxa"/>
            <w:vAlign w:val="bottom"/>
            <w:shd w:val="clear" w:color="auto" w:fill="CFF0FC"/>
          </w:tcPr>
          <w:p>
            <w:pPr>
              <w:spacing w:after="0"/>
              <w:rPr>
                <w:sz w:val="13"/>
                <w:szCs w:val="13"/>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3"/>
                <w:szCs w:val="13"/>
                <w:b w:val="1"/>
                <w:bCs w:val="1"/>
                <w:color w:val="auto"/>
              </w:rPr>
              <w:t>105,144</w:t>
            </w:r>
          </w:p>
        </w:tc>
        <w:tc>
          <w:tcPr>
            <w:tcW w:w="360" w:type="dxa"/>
            <w:vAlign w:val="bottom"/>
            <w:gridSpan w:val="3"/>
            <w:shd w:val="clear" w:color="auto" w:fill="CFF0FC"/>
          </w:tcPr>
          <w:p>
            <w:pPr>
              <w:jc w:val="right"/>
              <w:ind w:right="80"/>
              <w:spacing w:after="0"/>
              <w:rPr>
                <w:sz w:val="20"/>
                <w:szCs w:val="20"/>
                <w:color w:val="auto"/>
              </w:rPr>
            </w:pPr>
            <w:r>
              <w:rPr>
                <w:rFonts w:ascii="Arial" w:cs="Arial" w:eastAsia="Arial" w:hAnsi="Arial"/>
                <w:sz w:val="13"/>
                <w:szCs w:val="13"/>
                <w:b w:val="1"/>
                <w:bCs w:val="1"/>
                <w:color w:val="auto"/>
              </w:rPr>
              <w:t>$</w:t>
            </w:r>
          </w:p>
        </w:tc>
        <w:tc>
          <w:tcPr>
            <w:tcW w:w="760" w:type="dxa"/>
            <w:vAlign w:val="bottom"/>
            <w:gridSpan w:val="3"/>
            <w:shd w:val="clear" w:color="auto" w:fill="CFF0FC"/>
          </w:tcPr>
          <w:p>
            <w:pPr>
              <w:ind w:left="400"/>
              <w:spacing w:after="0"/>
              <w:rPr>
                <w:sz w:val="20"/>
                <w:szCs w:val="20"/>
                <w:color w:val="auto"/>
              </w:rPr>
            </w:pPr>
            <w:r>
              <w:rPr>
                <w:rFonts w:ascii="Arial" w:cs="Arial" w:eastAsia="Arial" w:hAnsi="Arial"/>
                <w:sz w:val="13"/>
                <w:szCs w:val="13"/>
                <w:b w:val="1"/>
                <w:bCs w:val="1"/>
                <w:color w:val="auto"/>
              </w:rPr>
              <w:t>—</w:t>
            </w:r>
          </w:p>
        </w:tc>
        <w:tc>
          <w:tcPr>
            <w:tcW w:w="80" w:type="dxa"/>
            <w:vAlign w:val="bottom"/>
            <w:shd w:val="clear" w:color="auto" w:fill="CFF0FC"/>
          </w:tcPr>
          <w:p>
            <w:pPr>
              <w:spacing w:after="0"/>
              <w:rPr>
                <w:sz w:val="20"/>
                <w:szCs w:val="20"/>
                <w:color w:val="auto"/>
              </w:rPr>
            </w:pPr>
            <w:r>
              <w:rPr>
                <w:rFonts w:ascii="Arial" w:cs="Arial" w:eastAsia="Arial" w:hAnsi="Arial"/>
                <w:sz w:val="13"/>
                <w:szCs w:val="13"/>
                <w:b w:val="1"/>
                <w:bCs w:val="1"/>
                <w:color w:val="auto"/>
                <w:w w:val="82"/>
              </w:rPr>
              <w:t>$</w:t>
            </w:r>
          </w:p>
        </w:tc>
        <w:tc>
          <w:tcPr>
            <w:tcW w:w="700" w:type="dxa"/>
            <w:vAlign w:val="bottom"/>
            <w:shd w:val="clear" w:color="auto" w:fill="CFF0FC"/>
          </w:tcPr>
          <w:p>
            <w:pPr>
              <w:jc w:val="right"/>
              <w:spacing w:after="0"/>
              <w:rPr>
                <w:sz w:val="20"/>
                <w:szCs w:val="20"/>
                <w:color w:val="auto"/>
              </w:rPr>
            </w:pPr>
            <w:r>
              <w:rPr>
                <w:rFonts w:ascii="Arial" w:cs="Arial" w:eastAsia="Arial" w:hAnsi="Arial"/>
                <w:sz w:val="13"/>
                <w:szCs w:val="13"/>
                <w:b w:val="1"/>
                <w:bCs w:val="1"/>
                <w:color w:val="auto"/>
              </w:rPr>
              <w:t>32</w:t>
            </w:r>
          </w:p>
        </w:tc>
        <w:tc>
          <w:tcPr>
            <w:tcW w:w="12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20"/>
                <w:szCs w:val="20"/>
                <w:color w:val="auto"/>
              </w:rPr>
            </w:pPr>
            <w:r>
              <w:rPr>
                <w:rFonts w:ascii="Arial" w:cs="Arial" w:eastAsia="Arial" w:hAnsi="Arial"/>
                <w:sz w:val="13"/>
                <w:szCs w:val="13"/>
                <w:b w:val="1"/>
                <w:bCs w:val="1"/>
                <w:color w:val="auto"/>
              </w:rPr>
              <w:t>$</w:t>
            </w:r>
          </w:p>
        </w:tc>
        <w:tc>
          <w:tcPr>
            <w:tcW w:w="640" w:type="dxa"/>
            <w:vAlign w:val="bottom"/>
            <w:tcBorders>
              <w:right w:val="single" w:sz="8" w:color="CFF0FC"/>
            </w:tcBorders>
            <w:shd w:val="clear" w:color="auto" w:fill="CFF0FC"/>
          </w:tcPr>
          <w:p>
            <w:pPr>
              <w:jc w:val="right"/>
              <w:ind w:right="13"/>
              <w:spacing w:after="0"/>
              <w:rPr>
                <w:sz w:val="20"/>
                <w:szCs w:val="20"/>
                <w:color w:val="auto"/>
              </w:rPr>
            </w:pPr>
            <w:r>
              <w:rPr>
                <w:rFonts w:ascii="Arial" w:cs="Arial" w:eastAsia="Arial" w:hAnsi="Arial"/>
                <w:sz w:val="13"/>
                <w:szCs w:val="13"/>
                <w:b w:val="1"/>
                <w:bCs w:val="1"/>
                <w:color w:val="auto"/>
              </w:rPr>
              <w:t>48,463</w:t>
            </w:r>
          </w:p>
        </w:tc>
        <w:tc>
          <w:tcPr>
            <w:tcW w:w="0" w:type="dxa"/>
            <w:vAlign w:val="bottom"/>
          </w:tcPr>
          <w:p>
            <w:pPr>
              <w:spacing w:after="0"/>
              <w:rPr>
                <w:sz w:val="1"/>
                <w:szCs w:val="1"/>
                <w:color w:val="auto"/>
              </w:rPr>
            </w:pPr>
          </w:p>
        </w:tc>
      </w:tr>
      <w:tr>
        <w:trPr>
          <w:trHeight w:val="20"/>
        </w:trPr>
        <w:tc>
          <w:tcPr>
            <w:tcW w:w="2520" w:type="dxa"/>
            <w:vAlign w:val="bottom"/>
            <w:tcBorders>
              <w:top w:val="single" w:sz="8" w:color="CFF0FC"/>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condensed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5" w:name="page6"/>
    <w:bookmarkEnd w:id="5"/>
    <w:p>
      <w:pPr>
        <w:jc w:val="center"/>
        <w:ind w:right="20"/>
        <w:spacing w:after="0"/>
        <w:rPr>
          <w:sz w:val="20"/>
          <w:szCs w:val="20"/>
          <w:color w:val="auto"/>
        </w:rPr>
      </w:pPr>
      <w:r>
        <w:rPr>
          <w:rFonts w:ascii="Arial" w:cs="Arial" w:eastAsia="Arial" w:hAnsi="Arial"/>
          <w:sz w:val="18"/>
          <w:szCs w:val="18"/>
          <w:b w:val="1"/>
          <w:bCs w:val="1"/>
          <w:color w:val="auto"/>
        </w:rPr>
        <w:t>VERRICA 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CONDENSED STATEMENTS OF CASH FLOWS</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(in thousands)</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(Unaudited)</w:t>
      </w:r>
    </w:p>
    <w:p>
      <w:pPr>
        <w:spacing w:after="0" w:line="28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9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900" w:type="dxa"/>
            <w:vAlign w:val="bottom"/>
            <w:gridSpan w:val="6"/>
          </w:tcPr>
          <w:p>
            <w:pPr>
              <w:jc w:val="right"/>
              <w:ind w:right="560"/>
              <w:spacing w:after="0"/>
              <w:rPr>
                <w:sz w:val="20"/>
                <w:szCs w:val="20"/>
                <w:color w:val="auto"/>
              </w:rPr>
            </w:pPr>
            <w:r>
              <w:rPr>
                <w:rFonts w:ascii="Arial" w:cs="Arial" w:eastAsia="Arial" w:hAnsi="Arial"/>
                <w:sz w:val="14"/>
                <w:szCs w:val="14"/>
                <w:b w:val="1"/>
                <w:bCs w:val="1"/>
                <w:color w:val="auto"/>
                <w:w w:val="99"/>
              </w:rPr>
              <w:t>For the Six Months Ended June 30,</w:t>
            </w:r>
          </w:p>
        </w:tc>
      </w:tr>
      <w:tr>
        <w:trPr>
          <w:trHeight w:val="155"/>
        </w:trPr>
        <w:tc>
          <w:tcPr>
            <w:tcW w:w="6940" w:type="dxa"/>
            <w:vAlign w:val="bottom"/>
            <w:tcBorders>
              <w:bottom w:val="single" w:sz="8" w:color="CFF2FF"/>
            </w:tcBorders>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1140" w:type="dxa"/>
            <w:vAlign w:val="bottom"/>
            <w:tcBorders>
              <w:top w:val="single" w:sz="8" w:color="auto"/>
              <w:bottom w:val="single" w:sz="8" w:color="auto"/>
            </w:tcBorders>
          </w:tcPr>
          <w:p>
            <w:pPr>
              <w:jc w:val="right"/>
              <w:ind w:right="471"/>
              <w:spacing w:after="0" w:line="155" w:lineRule="exact"/>
              <w:rPr>
                <w:sz w:val="20"/>
                <w:szCs w:val="20"/>
                <w:color w:val="auto"/>
              </w:rPr>
            </w:pPr>
            <w:r>
              <w:rPr>
                <w:rFonts w:ascii="Arial" w:cs="Arial" w:eastAsia="Arial" w:hAnsi="Arial"/>
                <w:sz w:val="14"/>
                <w:szCs w:val="14"/>
                <w:b w:val="1"/>
                <w:bCs w:val="1"/>
                <w:color w:val="auto"/>
              </w:rPr>
              <w:t>2021</w:t>
            </w:r>
          </w:p>
        </w:tc>
        <w:tc>
          <w:tcPr>
            <w:tcW w:w="160" w:type="dxa"/>
            <w:vAlign w:val="bottom"/>
            <w:tcBorders>
              <w:top w:val="single" w:sz="8" w:color="auto"/>
              <w:bottom w:val="single" w:sz="8" w:color="CFF2FF"/>
            </w:tcBorders>
          </w:tcPr>
          <w:p>
            <w:pPr>
              <w:spacing w:after="0"/>
              <w:rPr>
                <w:sz w:val="13"/>
                <w:szCs w:val="13"/>
                <w:color w:val="auto"/>
              </w:rPr>
            </w:pPr>
          </w:p>
        </w:tc>
        <w:tc>
          <w:tcPr>
            <w:tcW w:w="100" w:type="dxa"/>
            <w:vAlign w:val="bottom"/>
            <w:tcBorders>
              <w:top w:val="single" w:sz="8" w:color="auto"/>
              <w:bottom w:val="single" w:sz="8" w:color="CFF2FF"/>
            </w:tcBorders>
          </w:tcPr>
          <w:p>
            <w:pPr>
              <w:spacing w:after="0"/>
              <w:rPr>
                <w:sz w:val="13"/>
                <w:szCs w:val="13"/>
                <w:color w:val="auto"/>
              </w:rPr>
            </w:pPr>
          </w:p>
        </w:tc>
        <w:tc>
          <w:tcPr>
            <w:tcW w:w="320" w:type="dxa"/>
            <w:vAlign w:val="bottom"/>
            <w:tcBorders>
              <w:top w:val="single" w:sz="8" w:color="auto"/>
              <w:bottom w:val="single" w:sz="8" w:color="auto"/>
            </w:tcBorders>
          </w:tcPr>
          <w:p>
            <w:pPr>
              <w:spacing w:after="0"/>
              <w:rPr>
                <w:sz w:val="13"/>
                <w:szCs w:val="13"/>
                <w:color w:val="auto"/>
              </w:rPr>
            </w:pPr>
          </w:p>
        </w:tc>
        <w:tc>
          <w:tcPr>
            <w:tcW w:w="1080" w:type="dxa"/>
            <w:vAlign w:val="bottom"/>
            <w:tcBorders>
              <w:top w:val="single" w:sz="8" w:color="auto"/>
              <w:bottom w:val="single" w:sz="8" w:color="auto"/>
            </w:tcBorders>
          </w:tcPr>
          <w:p>
            <w:pPr>
              <w:jc w:val="right"/>
              <w:ind w:right="471"/>
              <w:spacing w:after="0" w:line="155" w:lineRule="exact"/>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FF2FF"/>
            </w:tcBorders>
          </w:tcPr>
          <w:p>
            <w:pPr>
              <w:spacing w:after="0"/>
              <w:rPr>
                <w:sz w:val="13"/>
                <w:szCs w:val="13"/>
                <w:color w:val="auto"/>
              </w:rPr>
            </w:pPr>
          </w:p>
        </w:tc>
      </w:tr>
      <w:tr>
        <w:trPr>
          <w:trHeight w:val="223"/>
        </w:trPr>
        <w:tc>
          <w:tcPr>
            <w:tcW w:w="6940" w:type="dxa"/>
            <w:vAlign w:val="bottom"/>
            <w:shd w:val="clear" w:color="auto" w:fill="CFF2FF"/>
          </w:tcPr>
          <w:p>
            <w:pPr>
              <w:spacing w:after="0"/>
              <w:rPr>
                <w:sz w:val="20"/>
                <w:szCs w:val="20"/>
                <w:color w:val="auto"/>
              </w:rPr>
            </w:pPr>
            <w:r>
              <w:rPr>
                <w:rFonts w:ascii="Arial" w:cs="Arial" w:eastAsia="Arial" w:hAnsi="Arial"/>
                <w:sz w:val="18"/>
                <w:szCs w:val="18"/>
                <w:b w:val="1"/>
                <w:bCs w:val="1"/>
                <w:color w:val="auto"/>
              </w:rPr>
              <w:t>Cash flows from operating activities</w:t>
            </w:r>
          </w:p>
        </w:tc>
        <w:tc>
          <w:tcPr>
            <w:tcW w:w="260" w:type="dxa"/>
            <w:vAlign w:val="bottom"/>
            <w:shd w:val="clear" w:color="auto" w:fill="CFF2FF"/>
          </w:tcPr>
          <w:p>
            <w:pPr>
              <w:spacing w:after="0"/>
              <w:rPr>
                <w:sz w:val="19"/>
                <w:szCs w:val="19"/>
                <w:color w:val="auto"/>
              </w:rPr>
            </w:pPr>
          </w:p>
        </w:tc>
        <w:tc>
          <w:tcPr>
            <w:tcW w:w="1140" w:type="dxa"/>
            <w:vAlign w:val="bottom"/>
            <w:shd w:val="clear" w:color="auto" w:fill="CFF2FF"/>
          </w:tcPr>
          <w:p>
            <w:pPr>
              <w:spacing w:after="0"/>
              <w:rPr>
                <w:sz w:val="19"/>
                <w:szCs w:val="19"/>
                <w:color w:val="auto"/>
              </w:rPr>
            </w:pPr>
          </w:p>
        </w:tc>
        <w:tc>
          <w:tcPr>
            <w:tcW w:w="160" w:type="dxa"/>
            <w:vAlign w:val="bottom"/>
            <w:shd w:val="clear" w:color="auto" w:fill="CFF2FF"/>
          </w:tcPr>
          <w:p>
            <w:pPr>
              <w:spacing w:after="0"/>
              <w:rPr>
                <w:sz w:val="19"/>
                <w:szCs w:val="19"/>
                <w:color w:val="auto"/>
              </w:rPr>
            </w:pPr>
          </w:p>
        </w:tc>
        <w:tc>
          <w:tcPr>
            <w:tcW w:w="100" w:type="dxa"/>
            <w:vAlign w:val="bottom"/>
            <w:shd w:val="clear" w:color="auto" w:fill="CFF2FF"/>
          </w:tcPr>
          <w:p>
            <w:pPr>
              <w:spacing w:after="0"/>
              <w:rPr>
                <w:sz w:val="19"/>
                <w:szCs w:val="19"/>
                <w:color w:val="auto"/>
              </w:rPr>
            </w:pPr>
          </w:p>
        </w:tc>
        <w:tc>
          <w:tcPr>
            <w:tcW w:w="320" w:type="dxa"/>
            <w:vAlign w:val="bottom"/>
            <w:shd w:val="clear" w:color="auto" w:fill="CFF2FF"/>
          </w:tcPr>
          <w:p>
            <w:pPr>
              <w:spacing w:after="0"/>
              <w:rPr>
                <w:sz w:val="19"/>
                <w:szCs w:val="19"/>
                <w:color w:val="auto"/>
              </w:rPr>
            </w:pPr>
          </w:p>
        </w:tc>
        <w:tc>
          <w:tcPr>
            <w:tcW w:w="1080" w:type="dxa"/>
            <w:vAlign w:val="bottom"/>
            <w:shd w:val="clear" w:color="auto" w:fill="CFF2FF"/>
          </w:tcPr>
          <w:p>
            <w:pPr>
              <w:spacing w:after="0"/>
              <w:rPr>
                <w:sz w:val="19"/>
                <w:szCs w:val="19"/>
                <w:color w:val="auto"/>
              </w:rPr>
            </w:pPr>
          </w:p>
        </w:tc>
        <w:tc>
          <w:tcPr>
            <w:tcW w:w="100" w:type="dxa"/>
            <w:vAlign w:val="bottom"/>
            <w:shd w:val="clear" w:color="auto" w:fill="CFF2FF"/>
          </w:tcPr>
          <w:p>
            <w:pPr>
              <w:spacing w:after="0"/>
              <w:rPr>
                <w:sz w:val="19"/>
                <w:szCs w:val="19"/>
                <w:color w:val="auto"/>
              </w:rPr>
            </w:pPr>
          </w:p>
        </w:tc>
      </w:tr>
      <w:tr>
        <w:trPr>
          <w:trHeight w:val="229"/>
        </w:trPr>
        <w:tc>
          <w:tcPr>
            <w:tcW w:w="6940" w:type="dxa"/>
            <w:vAlign w:val="bottom"/>
          </w:tcPr>
          <w:p>
            <w:pPr>
              <w:spacing w:after="0"/>
              <w:rPr>
                <w:sz w:val="20"/>
                <w:szCs w:val="20"/>
                <w:color w:val="auto"/>
              </w:rPr>
            </w:pPr>
            <w:r>
              <w:rPr>
                <w:rFonts w:ascii="Arial" w:cs="Arial" w:eastAsia="Arial" w:hAnsi="Arial"/>
                <w:sz w:val="18"/>
                <w:szCs w:val="18"/>
                <w:color w:val="auto"/>
              </w:rPr>
              <w:t>Net loss</w:t>
            </w:r>
          </w:p>
        </w:tc>
        <w:tc>
          <w:tcPr>
            <w:tcW w:w="260" w:type="dxa"/>
            <w:vAlign w:val="bottom"/>
          </w:tcPr>
          <w:p>
            <w:pPr>
              <w:jc w:val="right"/>
              <w:ind w:right="107"/>
              <w:spacing w:after="0"/>
              <w:rPr>
                <w:sz w:val="20"/>
                <w:szCs w:val="20"/>
                <w:color w:val="auto"/>
              </w:rPr>
            </w:pPr>
            <w:r>
              <w:rPr>
                <w:rFonts w:ascii="Arial" w:cs="Arial" w:eastAsia="Arial" w:hAnsi="Arial"/>
                <w:sz w:val="15"/>
                <w:szCs w:val="15"/>
                <w:color w:val="auto"/>
                <w:w w:val="71"/>
              </w:rPr>
              <w:t>$</w:t>
            </w: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(12,711)</w:t>
            </w:r>
          </w:p>
        </w:tc>
        <w:tc>
          <w:tcPr>
            <w:tcW w:w="420" w:type="dxa"/>
            <w:vAlign w:val="bottom"/>
            <w:gridSpan w:val="2"/>
          </w:tcPr>
          <w:p>
            <w:pPr>
              <w:jc w:val="right"/>
              <w:ind w:right="167"/>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(19,231)</w:t>
            </w:r>
          </w:p>
        </w:tc>
      </w:tr>
      <w:tr>
        <w:trPr>
          <w:trHeight w:val="230"/>
        </w:trPr>
        <w:tc>
          <w:tcPr>
            <w:tcW w:w="6940" w:type="dxa"/>
            <w:vAlign w:val="bottom"/>
            <w:shd w:val="clear" w:color="auto" w:fill="CFF2FF"/>
          </w:tcPr>
          <w:p>
            <w:pPr>
              <w:spacing w:after="0"/>
              <w:rPr>
                <w:sz w:val="20"/>
                <w:szCs w:val="20"/>
                <w:color w:val="auto"/>
              </w:rPr>
            </w:pPr>
            <w:r>
              <w:rPr>
                <w:rFonts w:ascii="Arial" w:cs="Arial" w:eastAsia="Arial" w:hAnsi="Arial"/>
                <w:sz w:val="18"/>
                <w:szCs w:val="18"/>
                <w:color w:val="auto"/>
              </w:rPr>
              <w:t>Adjustments to reconcile net loss to net cash used in operating activities:</w:t>
            </w:r>
          </w:p>
        </w:tc>
        <w:tc>
          <w:tcPr>
            <w:tcW w:w="260" w:type="dxa"/>
            <w:vAlign w:val="bottom"/>
            <w:shd w:val="clear" w:color="auto" w:fill="CFF2FF"/>
          </w:tcPr>
          <w:p>
            <w:pPr>
              <w:spacing w:after="0"/>
              <w:rPr>
                <w:sz w:val="19"/>
                <w:szCs w:val="19"/>
                <w:color w:val="auto"/>
              </w:rPr>
            </w:pPr>
          </w:p>
        </w:tc>
        <w:tc>
          <w:tcPr>
            <w:tcW w:w="1140" w:type="dxa"/>
            <w:vAlign w:val="bottom"/>
            <w:shd w:val="clear" w:color="auto" w:fill="CFF2FF"/>
          </w:tcPr>
          <w:p>
            <w:pPr>
              <w:spacing w:after="0"/>
              <w:rPr>
                <w:sz w:val="19"/>
                <w:szCs w:val="19"/>
                <w:color w:val="auto"/>
              </w:rPr>
            </w:pPr>
          </w:p>
        </w:tc>
        <w:tc>
          <w:tcPr>
            <w:tcW w:w="160" w:type="dxa"/>
            <w:vAlign w:val="bottom"/>
            <w:shd w:val="clear" w:color="auto" w:fill="CFF2FF"/>
          </w:tcPr>
          <w:p>
            <w:pPr>
              <w:spacing w:after="0"/>
              <w:rPr>
                <w:sz w:val="19"/>
                <w:szCs w:val="19"/>
                <w:color w:val="auto"/>
              </w:rPr>
            </w:pPr>
          </w:p>
        </w:tc>
        <w:tc>
          <w:tcPr>
            <w:tcW w:w="100" w:type="dxa"/>
            <w:vAlign w:val="bottom"/>
            <w:shd w:val="clear" w:color="auto" w:fill="CFF2FF"/>
          </w:tcPr>
          <w:p>
            <w:pPr>
              <w:spacing w:after="0"/>
              <w:rPr>
                <w:sz w:val="19"/>
                <w:szCs w:val="19"/>
                <w:color w:val="auto"/>
              </w:rPr>
            </w:pPr>
          </w:p>
        </w:tc>
        <w:tc>
          <w:tcPr>
            <w:tcW w:w="320" w:type="dxa"/>
            <w:vAlign w:val="bottom"/>
            <w:shd w:val="clear" w:color="auto" w:fill="CFF2FF"/>
          </w:tcPr>
          <w:p>
            <w:pPr>
              <w:spacing w:after="0"/>
              <w:rPr>
                <w:sz w:val="19"/>
                <w:szCs w:val="19"/>
                <w:color w:val="auto"/>
              </w:rPr>
            </w:pPr>
          </w:p>
        </w:tc>
        <w:tc>
          <w:tcPr>
            <w:tcW w:w="1080" w:type="dxa"/>
            <w:vAlign w:val="bottom"/>
            <w:shd w:val="clear" w:color="auto" w:fill="CFF2FF"/>
          </w:tcPr>
          <w:p>
            <w:pPr>
              <w:spacing w:after="0"/>
              <w:rPr>
                <w:sz w:val="19"/>
                <w:szCs w:val="19"/>
                <w:color w:val="auto"/>
              </w:rPr>
            </w:pPr>
          </w:p>
        </w:tc>
        <w:tc>
          <w:tcPr>
            <w:tcW w:w="100" w:type="dxa"/>
            <w:vAlign w:val="bottom"/>
            <w:shd w:val="clear" w:color="auto" w:fill="CFF2FF"/>
          </w:tcPr>
          <w:p>
            <w:pPr>
              <w:spacing w:after="0"/>
              <w:rPr>
                <w:sz w:val="19"/>
                <w:szCs w:val="19"/>
                <w:color w:val="auto"/>
              </w:rPr>
            </w:pPr>
          </w:p>
        </w:tc>
      </w:tr>
      <w:tr>
        <w:trPr>
          <w:trHeight w:val="229"/>
        </w:trPr>
        <w:tc>
          <w:tcPr>
            <w:tcW w:w="6940" w:type="dxa"/>
            <w:vAlign w:val="bottom"/>
          </w:tcPr>
          <w:p>
            <w:pPr>
              <w:ind w:left="240"/>
              <w:spacing w:after="0"/>
              <w:rPr>
                <w:sz w:val="20"/>
                <w:szCs w:val="20"/>
                <w:color w:val="auto"/>
              </w:rPr>
            </w:pPr>
            <w:r>
              <w:rPr>
                <w:rFonts w:ascii="Arial" w:cs="Arial" w:eastAsia="Arial" w:hAnsi="Arial"/>
                <w:sz w:val="18"/>
                <w:szCs w:val="18"/>
                <w:color w:val="auto"/>
              </w:rPr>
              <w:t>Stock-based compensation</w:t>
            </w:r>
          </w:p>
        </w:tc>
        <w:tc>
          <w:tcPr>
            <w:tcW w:w="26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3,251</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2,250</w:t>
            </w:r>
          </w:p>
        </w:tc>
        <w:tc>
          <w:tcPr>
            <w:tcW w:w="100" w:type="dxa"/>
            <w:vAlign w:val="bottom"/>
          </w:tcPr>
          <w:p>
            <w:pPr>
              <w:spacing w:after="0"/>
              <w:rPr>
                <w:sz w:val="19"/>
                <w:szCs w:val="19"/>
                <w:color w:val="auto"/>
              </w:rPr>
            </w:pPr>
          </w:p>
        </w:tc>
      </w:tr>
      <w:tr>
        <w:trPr>
          <w:trHeight w:val="230"/>
        </w:trPr>
        <w:tc>
          <w:tcPr>
            <w:tcW w:w="6940" w:type="dxa"/>
            <w:vAlign w:val="bottom"/>
            <w:shd w:val="clear" w:color="auto" w:fill="CFF2FF"/>
          </w:tcPr>
          <w:p>
            <w:pPr>
              <w:ind w:left="240"/>
              <w:spacing w:after="0"/>
              <w:rPr>
                <w:sz w:val="20"/>
                <w:szCs w:val="20"/>
                <w:color w:val="auto"/>
              </w:rPr>
            </w:pPr>
            <w:r>
              <w:rPr>
                <w:rFonts w:ascii="Arial" w:cs="Arial" w:eastAsia="Arial" w:hAnsi="Arial"/>
                <w:sz w:val="18"/>
                <w:szCs w:val="18"/>
                <w:color w:val="auto"/>
              </w:rPr>
              <w:t>Accretion of discounts on marketable securities</w:t>
            </w:r>
          </w:p>
        </w:tc>
        <w:tc>
          <w:tcPr>
            <w:tcW w:w="260" w:type="dxa"/>
            <w:vAlign w:val="bottom"/>
            <w:shd w:val="clear" w:color="auto" w:fill="CFF2FF"/>
          </w:tcPr>
          <w:p>
            <w:pPr>
              <w:spacing w:after="0"/>
              <w:rPr>
                <w:sz w:val="19"/>
                <w:szCs w:val="19"/>
                <w:color w:val="auto"/>
              </w:rPr>
            </w:pPr>
          </w:p>
        </w:tc>
        <w:tc>
          <w:tcPr>
            <w:tcW w:w="1300" w:type="dxa"/>
            <w:vAlign w:val="bottom"/>
            <w:gridSpan w:val="2"/>
            <w:shd w:val="clear" w:color="auto" w:fill="CFF2FF"/>
          </w:tcPr>
          <w:p>
            <w:pPr>
              <w:jc w:val="right"/>
              <w:ind w:right="100"/>
              <w:spacing w:after="0"/>
              <w:rPr>
                <w:sz w:val="20"/>
                <w:szCs w:val="20"/>
                <w:color w:val="auto"/>
              </w:rPr>
            </w:pPr>
            <w:r>
              <w:rPr>
                <w:rFonts w:ascii="Arial" w:cs="Arial" w:eastAsia="Arial" w:hAnsi="Arial"/>
                <w:sz w:val="18"/>
                <w:szCs w:val="18"/>
                <w:color w:val="auto"/>
              </w:rPr>
              <w:t>(25)</w:t>
            </w:r>
          </w:p>
        </w:tc>
        <w:tc>
          <w:tcPr>
            <w:tcW w:w="100" w:type="dxa"/>
            <w:vAlign w:val="bottom"/>
            <w:shd w:val="clear" w:color="auto" w:fill="CFF2FF"/>
          </w:tcPr>
          <w:p>
            <w:pPr>
              <w:spacing w:after="0"/>
              <w:rPr>
                <w:sz w:val="19"/>
                <w:szCs w:val="19"/>
                <w:color w:val="auto"/>
              </w:rPr>
            </w:pPr>
          </w:p>
        </w:tc>
        <w:tc>
          <w:tcPr>
            <w:tcW w:w="320" w:type="dxa"/>
            <w:vAlign w:val="bottom"/>
            <w:shd w:val="clear" w:color="auto" w:fill="CFF2FF"/>
          </w:tcPr>
          <w:p>
            <w:pPr>
              <w:spacing w:after="0"/>
              <w:rPr>
                <w:sz w:val="19"/>
                <w:szCs w:val="19"/>
                <w:color w:val="auto"/>
              </w:rPr>
            </w:pPr>
          </w:p>
        </w:tc>
        <w:tc>
          <w:tcPr>
            <w:tcW w:w="1180" w:type="dxa"/>
            <w:vAlign w:val="bottom"/>
            <w:gridSpan w:val="2"/>
            <w:shd w:val="clear" w:color="auto" w:fill="CFF2FF"/>
          </w:tcPr>
          <w:p>
            <w:pPr>
              <w:jc w:val="right"/>
              <w:ind w:right="40"/>
              <w:spacing w:after="0"/>
              <w:rPr>
                <w:sz w:val="20"/>
                <w:szCs w:val="20"/>
                <w:color w:val="auto"/>
              </w:rPr>
            </w:pPr>
            <w:r>
              <w:rPr>
                <w:rFonts w:ascii="Arial" w:cs="Arial" w:eastAsia="Arial" w:hAnsi="Arial"/>
                <w:sz w:val="18"/>
                <w:szCs w:val="18"/>
                <w:color w:val="auto"/>
              </w:rPr>
              <w:t>(121)</w:t>
            </w:r>
          </w:p>
        </w:tc>
      </w:tr>
      <w:tr>
        <w:trPr>
          <w:trHeight w:val="229"/>
        </w:trPr>
        <w:tc>
          <w:tcPr>
            <w:tcW w:w="6940" w:type="dxa"/>
            <w:vAlign w:val="bottom"/>
          </w:tcPr>
          <w:p>
            <w:pPr>
              <w:ind w:left="240"/>
              <w:spacing w:after="0"/>
              <w:rPr>
                <w:sz w:val="20"/>
                <w:szCs w:val="20"/>
                <w:color w:val="auto"/>
              </w:rPr>
            </w:pPr>
            <w:r>
              <w:rPr>
                <w:rFonts w:ascii="Arial" w:cs="Arial" w:eastAsia="Arial" w:hAnsi="Arial"/>
                <w:sz w:val="18"/>
                <w:szCs w:val="18"/>
                <w:color w:val="auto"/>
              </w:rPr>
              <w:t>Depreciation expense</w:t>
            </w:r>
          </w:p>
        </w:tc>
        <w:tc>
          <w:tcPr>
            <w:tcW w:w="26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48</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26</w:t>
            </w:r>
          </w:p>
        </w:tc>
        <w:tc>
          <w:tcPr>
            <w:tcW w:w="100" w:type="dxa"/>
            <w:vAlign w:val="bottom"/>
          </w:tcPr>
          <w:p>
            <w:pPr>
              <w:spacing w:after="0"/>
              <w:rPr>
                <w:sz w:val="19"/>
                <w:szCs w:val="19"/>
                <w:color w:val="auto"/>
              </w:rPr>
            </w:pPr>
          </w:p>
        </w:tc>
      </w:tr>
      <w:tr>
        <w:trPr>
          <w:trHeight w:val="229"/>
        </w:trPr>
        <w:tc>
          <w:tcPr>
            <w:tcW w:w="6940" w:type="dxa"/>
            <w:vAlign w:val="bottom"/>
            <w:shd w:val="clear" w:color="auto" w:fill="CFF2FF"/>
          </w:tcPr>
          <w:p>
            <w:pPr>
              <w:ind w:left="240"/>
              <w:spacing w:after="0"/>
              <w:rPr>
                <w:sz w:val="20"/>
                <w:szCs w:val="20"/>
                <w:color w:val="auto"/>
              </w:rPr>
            </w:pPr>
            <w:r>
              <w:rPr>
                <w:rFonts w:ascii="Arial" w:cs="Arial" w:eastAsia="Arial" w:hAnsi="Arial"/>
                <w:sz w:val="18"/>
                <w:szCs w:val="18"/>
                <w:color w:val="auto"/>
              </w:rPr>
              <w:t>Non cash interest expense</w:t>
            </w:r>
          </w:p>
        </w:tc>
        <w:tc>
          <w:tcPr>
            <w:tcW w:w="260" w:type="dxa"/>
            <w:vAlign w:val="bottom"/>
            <w:shd w:val="clear" w:color="auto" w:fill="CFF2FF"/>
          </w:tcPr>
          <w:p>
            <w:pPr>
              <w:spacing w:after="0"/>
              <w:rPr>
                <w:sz w:val="19"/>
                <w:szCs w:val="19"/>
                <w:color w:val="auto"/>
              </w:rPr>
            </w:pPr>
          </w:p>
        </w:tc>
        <w:tc>
          <w:tcPr>
            <w:tcW w:w="1140" w:type="dxa"/>
            <w:vAlign w:val="bottom"/>
            <w:shd w:val="clear" w:color="auto" w:fill="CFF2FF"/>
          </w:tcPr>
          <w:p>
            <w:pPr>
              <w:jc w:val="right"/>
              <w:spacing w:after="0"/>
              <w:rPr>
                <w:sz w:val="20"/>
                <w:szCs w:val="20"/>
                <w:color w:val="auto"/>
              </w:rPr>
            </w:pPr>
            <w:r>
              <w:rPr>
                <w:rFonts w:ascii="Arial" w:cs="Arial" w:eastAsia="Arial" w:hAnsi="Arial"/>
                <w:sz w:val="18"/>
                <w:szCs w:val="18"/>
                <w:color w:val="auto"/>
              </w:rPr>
              <w:t>729</w:t>
            </w:r>
          </w:p>
        </w:tc>
        <w:tc>
          <w:tcPr>
            <w:tcW w:w="160" w:type="dxa"/>
            <w:vAlign w:val="bottom"/>
            <w:shd w:val="clear" w:color="auto" w:fill="CFF2FF"/>
          </w:tcPr>
          <w:p>
            <w:pPr>
              <w:spacing w:after="0"/>
              <w:rPr>
                <w:sz w:val="19"/>
                <w:szCs w:val="19"/>
                <w:color w:val="auto"/>
              </w:rPr>
            </w:pPr>
          </w:p>
        </w:tc>
        <w:tc>
          <w:tcPr>
            <w:tcW w:w="100" w:type="dxa"/>
            <w:vAlign w:val="bottom"/>
            <w:shd w:val="clear" w:color="auto" w:fill="CFF2FF"/>
          </w:tcPr>
          <w:p>
            <w:pPr>
              <w:spacing w:after="0"/>
              <w:rPr>
                <w:sz w:val="19"/>
                <w:szCs w:val="19"/>
                <w:color w:val="auto"/>
              </w:rPr>
            </w:pPr>
          </w:p>
        </w:tc>
        <w:tc>
          <w:tcPr>
            <w:tcW w:w="320" w:type="dxa"/>
            <w:vAlign w:val="bottom"/>
            <w:shd w:val="clear" w:color="auto" w:fill="CFF2FF"/>
          </w:tcPr>
          <w:p>
            <w:pPr>
              <w:spacing w:after="0"/>
              <w:rPr>
                <w:sz w:val="19"/>
                <w:szCs w:val="19"/>
                <w:color w:val="auto"/>
              </w:rPr>
            </w:pPr>
          </w:p>
        </w:tc>
        <w:tc>
          <w:tcPr>
            <w:tcW w:w="1080" w:type="dxa"/>
            <w:vAlign w:val="bottom"/>
            <w:shd w:val="clear" w:color="auto" w:fill="CFF2FF"/>
          </w:tcPr>
          <w:p>
            <w:pPr>
              <w:jc w:val="right"/>
              <w:spacing w:after="0"/>
              <w:rPr>
                <w:sz w:val="20"/>
                <w:szCs w:val="20"/>
                <w:color w:val="auto"/>
              </w:rPr>
            </w:pPr>
            <w:r>
              <w:rPr>
                <w:rFonts w:ascii="Arial" w:cs="Arial" w:eastAsia="Arial" w:hAnsi="Arial"/>
                <w:sz w:val="18"/>
                <w:szCs w:val="18"/>
                <w:color w:val="auto"/>
              </w:rPr>
              <w:t>328</w:t>
            </w:r>
          </w:p>
        </w:tc>
        <w:tc>
          <w:tcPr>
            <w:tcW w:w="100" w:type="dxa"/>
            <w:vAlign w:val="bottom"/>
            <w:shd w:val="clear" w:color="auto" w:fill="CFF2FF"/>
          </w:tcPr>
          <w:p>
            <w:pPr>
              <w:spacing w:after="0"/>
              <w:rPr>
                <w:sz w:val="19"/>
                <w:szCs w:val="19"/>
                <w:color w:val="auto"/>
              </w:rPr>
            </w:pPr>
          </w:p>
        </w:tc>
      </w:tr>
      <w:tr>
        <w:trPr>
          <w:trHeight w:val="230"/>
        </w:trPr>
        <w:tc>
          <w:tcPr>
            <w:tcW w:w="6940" w:type="dxa"/>
            <w:vAlign w:val="bottom"/>
          </w:tcPr>
          <w:p>
            <w:pPr>
              <w:ind w:left="240"/>
              <w:spacing w:after="0"/>
              <w:rPr>
                <w:sz w:val="20"/>
                <w:szCs w:val="20"/>
                <w:color w:val="auto"/>
              </w:rPr>
            </w:pPr>
            <w:r>
              <w:rPr>
                <w:rFonts w:ascii="Arial" w:cs="Arial" w:eastAsia="Arial" w:hAnsi="Arial"/>
                <w:sz w:val="18"/>
                <w:szCs w:val="18"/>
                <w:color w:val="auto"/>
              </w:rPr>
              <w:t>Reduction in operating lease right-of-use asset</w:t>
            </w:r>
          </w:p>
        </w:tc>
        <w:tc>
          <w:tcPr>
            <w:tcW w:w="26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113</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111</w:t>
            </w:r>
          </w:p>
        </w:tc>
        <w:tc>
          <w:tcPr>
            <w:tcW w:w="100" w:type="dxa"/>
            <w:vAlign w:val="bottom"/>
          </w:tcPr>
          <w:p>
            <w:pPr>
              <w:spacing w:after="0"/>
              <w:rPr>
                <w:sz w:val="19"/>
                <w:szCs w:val="19"/>
                <w:color w:val="auto"/>
              </w:rPr>
            </w:pPr>
          </w:p>
        </w:tc>
      </w:tr>
      <w:tr>
        <w:trPr>
          <w:trHeight w:val="229"/>
        </w:trPr>
        <w:tc>
          <w:tcPr>
            <w:tcW w:w="6940" w:type="dxa"/>
            <w:vAlign w:val="bottom"/>
            <w:shd w:val="clear" w:color="auto" w:fill="CFF2FF"/>
          </w:tcPr>
          <w:p>
            <w:pPr>
              <w:ind w:left="240"/>
              <w:spacing w:after="0"/>
              <w:rPr>
                <w:sz w:val="20"/>
                <w:szCs w:val="20"/>
                <w:color w:val="auto"/>
              </w:rPr>
            </w:pPr>
            <w:r>
              <w:rPr>
                <w:rFonts w:ascii="Arial" w:cs="Arial" w:eastAsia="Arial" w:hAnsi="Arial"/>
                <w:sz w:val="18"/>
                <w:szCs w:val="18"/>
                <w:color w:val="auto"/>
              </w:rPr>
              <w:t>Changes in operating assets and liabilities:</w:t>
            </w:r>
          </w:p>
        </w:tc>
        <w:tc>
          <w:tcPr>
            <w:tcW w:w="260" w:type="dxa"/>
            <w:vAlign w:val="bottom"/>
            <w:shd w:val="clear" w:color="auto" w:fill="CFF2FF"/>
          </w:tcPr>
          <w:p>
            <w:pPr>
              <w:spacing w:after="0"/>
              <w:rPr>
                <w:sz w:val="19"/>
                <w:szCs w:val="19"/>
                <w:color w:val="auto"/>
              </w:rPr>
            </w:pPr>
          </w:p>
        </w:tc>
        <w:tc>
          <w:tcPr>
            <w:tcW w:w="1140" w:type="dxa"/>
            <w:vAlign w:val="bottom"/>
            <w:shd w:val="clear" w:color="auto" w:fill="CFF2FF"/>
          </w:tcPr>
          <w:p>
            <w:pPr>
              <w:spacing w:after="0"/>
              <w:rPr>
                <w:sz w:val="19"/>
                <w:szCs w:val="19"/>
                <w:color w:val="auto"/>
              </w:rPr>
            </w:pPr>
          </w:p>
        </w:tc>
        <w:tc>
          <w:tcPr>
            <w:tcW w:w="160" w:type="dxa"/>
            <w:vAlign w:val="bottom"/>
            <w:shd w:val="clear" w:color="auto" w:fill="CFF2FF"/>
          </w:tcPr>
          <w:p>
            <w:pPr>
              <w:spacing w:after="0"/>
              <w:rPr>
                <w:sz w:val="19"/>
                <w:szCs w:val="19"/>
                <w:color w:val="auto"/>
              </w:rPr>
            </w:pPr>
          </w:p>
        </w:tc>
        <w:tc>
          <w:tcPr>
            <w:tcW w:w="100" w:type="dxa"/>
            <w:vAlign w:val="bottom"/>
            <w:shd w:val="clear" w:color="auto" w:fill="CFF2FF"/>
          </w:tcPr>
          <w:p>
            <w:pPr>
              <w:spacing w:after="0"/>
              <w:rPr>
                <w:sz w:val="19"/>
                <w:szCs w:val="19"/>
                <w:color w:val="auto"/>
              </w:rPr>
            </w:pPr>
          </w:p>
        </w:tc>
        <w:tc>
          <w:tcPr>
            <w:tcW w:w="320" w:type="dxa"/>
            <w:vAlign w:val="bottom"/>
            <w:shd w:val="clear" w:color="auto" w:fill="CFF2FF"/>
          </w:tcPr>
          <w:p>
            <w:pPr>
              <w:spacing w:after="0"/>
              <w:rPr>
                <w:sz w:val="19"/>
                <w:szCs w:val="19"/>
                <w:color w:val="auto"/>
              </w:rPr>
            </w:pPr>
          </w:p>
        </w:tc>
        <w:tc>
          <w:tcPr>
            <w:tcW w:w="1080" w:type="dxa"/>
            <w:vAlign w:val="bottom"/>
            <w:shd w:val="clear" w:color="auto" w:fill="CFF2FF"/>
          </w:tcPr>
          <w:p>
            <w:pPr>
              <w:spacing w:after="0"/>
              <w:rPr>
                <w:sz w:val="19"/>
                <w:szCs w:val="19"/>
                <w:color w:val="auto"/>
              </w:rPr>
            </w:pPr>
          </w:p>
        </w:tc>
        <w:tc>
          <w:tcPr>
            <w:tcW w:w="100" w:type="dxa"/>
            <w:vAlign w:val="bottom"/>
            <w:shd w:val="clear" w:color="auto" w:fill="CFF2FF"/>
          </w:tcPr>
          <w:p>
            <w:pPr>
              <w:spacing w:after="0"/>
              <w:rPr>
                <w:sz w:val="19"/>
                <w:szCs w:val="19"/>
                <w:color w:val="auto"/>
              </w:rPr>
            </w:pPr>
          </w:p>
        </w:tc>
      </w:tr>
      <w:tr>
        <w:trPr>
          <w:trHeight w:val="229"/>
        </w:trPr>
        <w:tc>
          <w:tcPr>
            <w:tcW w:w="6940" w:type="dxa"/>
            <w:vAlign w:val="bottom"/>
          </w:tcPr>
          <w:p>
            <w:pPr>
              <w:ind w:left="480"/>
              <w:spacing w:after="0"/>
              <w:rPr>
                <w:sz w:val="20"/>
                <w:szCs w:val="20"/>
                <w:color w:val="auto"/>
              </w:rPr>
            </w:pPr>
            <w:r>
              <w:rPr>
                <w:rFonts w:ascii="Arial" w:cs="Arial" w:eastAsia="Arial" w:hAnsi="Arial"/>
                <w:sz w:val="18"/>
                <w:szCs w:val="18"/>
                <w:color w:val="auto"/>
              </w:rPr>
              <w:t>Prepaid expenses and other assets</w:t>
            </w:r>
          </w:p>
        </w:tc>
        <w:tc>
          <w:tcPr>
            <w:tcW w:w="26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218</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(709)</w:t>
            </w:r>
          </w:p>
        </w:tc>
      </w:tr>
      <w:tr>
        <w:trPr>
          <w:trHeight w:val="230"/>
        </w:trPr>
        <w:tc>
          <w:tcPr>
            <w:tcW w:w="6940" w:type="dxa"/>
            <w:vAlign w:val="bottom"/>
            <w:shd w:val="clear" w:color="auto" w:fill="CFF2FF"/>
          </w:tcPr>
          <w:p>
            <w:pPr>
              <w:ind w:left="480"/>
              <w:spacing w:after="0"/>
              <w:rPr>
                <w:sz w:val="20"/>
                <w:szCs w:val="20"/>
                <w:color w:val="auto"/>
              </w:rPr>
            </w:pPr>
            <w:r>
              <w:rPr>
                <w:rFonts w:ascii="Arial" w:cs="Arial" w:eastAsia="Arial" w:hAnsi="Arial"/>
                <w:sz w:val="18"/>
                <w:szCs w:val="18"/>
                <w:color w:val="auto"/>
              </w:rPr>
              <w:t>Accounts payable</w:t>
            </w:r>
          </w:p>
        </w:tc>
        <w:tc>
          <w:tcPr>
            <w:tcW w:w="260" w:type="dxa"/>
            <w:vAlign w:val="bottom"/>
            <w:shd w:val="clear" w:color="auto" w:fill="CFF2FF"/>
          </w:tcPr>
          <w:p>
            <w:pPr>
              <w:spacing w:after="0"/>
              <w:rPr>
                <w:sz w:val="19"/>
                <w:szCs w:val="19"/>
                <w:color w:val="auto"/>
              </w:rPr>
            </w:pPr>
          </w:p>
        </w:tc>
        <w:tc>
          <w:tcPr>
            <w:tcW w:w="1140" w:type="dxa"/>
            <w:vAlign w:val="bottom"/>
            <w:shd w:val="clear" w:color="auto" w:fill="CFF2FF"/>
          </w:tcPr>
          <w:p>
            <w:pPr>
              <w:jc w:val="right"/>
              <w:spacing w:after="0"/>
              <w:rPr>
                <w:sz w:val="20"/>
                <w:szCs w:val="20"/>
                <w:color w:val="auto"/>
              </w:rPr>
            </w:pPr>
            <w:r>
              <w:rPr>
                <w:rFonts w:ascii="Arial" w:cs="Arial" w:eastAsia="Arial" w:hAnsi="Arial"/>
                <w:sz w:val="18"/>
                <w:szCs w:val="18"/>
                <w:color w:val="auto"/>
              </w:rPr>
              <w:t>435</w:t>
            </w:r>
          </w:p>
        </w:tc>
        <w:tc>
          <w:tcPr>
            <w:tcW w:w="160" w:type="dxa"/>
            <w:vAlign w:val="bottom"/>
            <w:shd w:val="clear" w:color="auto" w:fill="CFF2FF"/>
          </w:tcPr>
          <w:p>
            <w:pPr>
              <w:spacing w:after="0"/>
              <w:rPr>
                <w:sz w:val="19"/>
                <w:szCs w:val="19"/>
                <w:color w:val="auto"/>
              </w:rPr>
            </w:pPr>
          </w:p>
        </w:tc>
        <w:tc>
          <w:tcPr>
            <w:tcW w:w="100" w:type="dxa"/>
            <w:vAlign w:val="bottom"/>
            <w:shd w:val="clear" w:color="auto" w:fill="CFF2FF"/>
          </w:tcPr>
          <w:p>
            <w:pPr>
              <w:spacing w:after="0"/>
              <w:rPr>
                <w:sz w:val="19"/>
                <w:szCs w:val="19"/>
                <w:color w:val="auto"/>
              </w:rPr>
            </w:pPr>
          </w:p>
        </w:tc>
        <w:tc>
          <w:tcPr>
            <w:tcW w:w="320" w:type="dxa"/>
            <w:vAlign w:val="bottom"/>
            <w:shd w:val="clear" w:color="auto" w:fill="CFF2FF"/>
          </w:tcPr>
          <w:p>
            <w:pPr>
              <w:spacing w:after="0"/>
              <w:rPr>
                <w:sz w:val="19"/>
                <w:szCs w:val="19"/>
                <w:color w:val="auto"/>
              </w:rPr>
            </w:pPr>
          </w:p>
        </w:tc>
        <w:tc>
          <w:tcPr>
            <w:tcW w:w="1080" w:type="dxa"/>
            <w:vAlign w:val="bottom"/>
            <w:shd w:val="clear" w:color="auto" w:fill="CFF2FF"/>
          </w:tcPr>
          <w:p>
            <w:pPr>
              <w:jc w:val="right"/>
              <w:spacing w:after="0"/>
              <w:rPr>
                <w:sz w:val="20"/>
                <w:szCs w:val="20"/>
                <w:color w:val="auto"/>
              </w:rPr>
            </w:pPr>
            <w:r>
              <w:rPr>
                <w:rFonts w:ascii="Arial" w:cs="Arial" w:eastAsia="Arial" w:hAnsi="Arial"/>
                <w:sz w:val="18"/>
                <w:szCs w:val="18"/>
                <w:color w:val="auto"/>
              </w:rPr>
              <w:t>112</w:t>
            </w:r>
          </w:p>
        </w:tc>
        <w:tc>
          <w:tcPr>
            <w:tcW w:w="100" w:type="dxa"/>
            <w:vAlign w:val="bottom"/>
            <w:shd w:val="clear" w:color="auto" w:fill="CFF2FF"/>
          </w:tcPr>
          <w:p>
            <w:pPr>
              <w:spacing w:after="0"/>
              <w:rPr>
                <w:sz w:val="19"/>
                <w:szCs w:val="19"/>
                <w:color w:val="auto"/>
              </w:rPr>
            </w:pPr>
          </w:p>
        </w:tc>
      </w:tr>
      <w:tr>
        <w:trPr>
          <w:trHeight w:val="229"/>
        </w:trPr>
        <w:tc>
          <w:tcPr>
            <w:tcW w:w="6940" w:type="dxa"/>
            <w:vAlign w:val="bottom"/>
          </w:tcPr>
          <w:p>
            <w:pPr>
              <w:ind w:left="480"/>
              <w:spacing w:after="0"/>
              <w:rPr>
                <w:sz w:val="20"/>
                <w:szCs w:val="20"/>
                <w:color w:val="auto"/>
              </w:rPr>
            </w:pPr>
            <w:r>
              <w:rPr>
                <w:rFonts w:ascii="Arial" w:cs="Arial" w:eastAsia="Arial" w:hAnsi="Arial"/>
                <w:sz w:val="18"/>
                <w:szCs w:val="18"/>
                <w:color w:val="auto"/>
              </w:rPr>
              <w:t>Accrued expenses and other current liabilities</w:t>
            </w:r>
          </w:p>
        </w:tc>
        <w:tc>
          <w:tcPr>
            <w:tcW w:w="26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239</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798</w:t>
            </w:r>
          </w:p>
        </w:tc>
        <w:tc>
          <w:tcPr>
            <w:tcW w:w="100" w:type="dxa"/>
            <w:vAlign w:val="bottom"/>
          </w:tcPr>
          <w:p>
            <w:pPr>
              <w:spacing w:after="0"/>
              <w:rPr>
                <w:sz w:val="19"/>
                <w:szCs w:val="19"/>
                <w:color w:val="auto"/>
              </w:rPr>
            </w:pPr>
          </w:p>
        </w:tc>
      </w:tr>
      <w:tr>
        <w:trPr>
          <w:trHeight w:val="230"/>
        </w:trPr>
        <w:tc>
          <w:tcPr>
            <w:tcW w:w="6940" w:type="dxa"/>
            <w:vAlign w:val="bottom"/>
            <w:shd w:val="clear" w:color="auto" w:fill="CFF2FF"/>
          </w:tcPr>
          <w:p>
            <w:pPr>
              <w:ind w:left="480"/>
              <w:spacing w:after="0"/>
              <w:rPr>
                <w:sz w:val="20"/>
                <w:szCs w:val="20"/>
                <w:color w:val="auto"/>
              </w:rPr>
            </w:pPr>
            <w:r>
              <w:rPr>
                <w:rFonts w:ascii="Arial" w:cs="Arial" w:eastAsia="Arial" w:hAnsi="Arial"/>
                <w:sz w:val="18"/>
                <w:szCs w:val="18"/>
                <w:color w:val="auto"/>
              </w:rPr>
              <w:t>Deferred revenue</w:t>
            </w:r>
          </w:p>
        </w:tc>
        <w:tc>
          <w:tcPr>
            <w:tcW w:w="260" w:type="dxa"/>
            <w:vAlign w:val="bottom"/>
            <w:shd w:val="clear" w:color="auto" w:fill="CFF2FF"/>
          </w:tcPr>
          <w:p>
            <w:pPr>
              <w:spacing w:after="0"/>
              <w:rPr>
                <w:sz w:val="19"/>
                <w:szCs w:val="19"/>
                <w:color w:val="auto"/>
              </w:rPr>
            </w:pPr>
          </w:p>
        </w:tc>
        <w:tc>
          <w:tcPr>
            <w:tcW w:w="1300" w:type="dxa"/>
            <w:vAlign w:val="bottom"/>
            <w:gridSpan w:val="2"/>
            <w:shd w:val="clear" w:color="auto" w:fill="CFF2FF"/>
          </w:tcPr>
          <w:p>
            <w:pPr>
              <w:jc w:val="right"/>
              <w:ind w:right="100"/>
              <w:spacing w:after="0"/>
              <w:rPr>
                <w:sz w:val="20"/>
                <w:szCs w:val="20"/>
                <w:color w:val="auto"/>
              </w:rPr>
            </w:pPr>
            <w:r>
              <w:rPr>
                <w:rFonts w:ascii="Arial" w:cs="Arial" w:eastAsia="Arial" w:hAnsi="Arial"/>
                <w:sz w:val="18"/>
                <w:szCs w:val="18"/>
                <w:color w:val="auto"/>
              </w:rPr>
              <w:t>(500)</w:t>
            </w:r>
          </w:p>
        </w:tc>
        <w:tc>
          <w:tcPr>
            <w:tcW w:w="100" w:type="dxa"/>
            <w:vAlign w:val="bottom"/>
            <w:shd w:val="clear" w:color="auto" w:fill="CFF2FF"/>
          </w:tcPr>
          <w:p>
            <w:pPr>
              <w:spacing w:after="0"/>
              <w:rPr>
                <w:sz w:val="19"/>
                <w:szCs w:val="19"/>
                <w:color w:val="auto"/>
              </w:rPr>
            </w:pPr>
          </w:p>
        </w:tc>
        <w:tc>
          <w:tcPr>
            <w:tcW w:w="320" w:type="dxa"/>
            <w:vAlign w:val="bottom"/>
            <w:shd w:val="clear" w:color="auto" w:fill="CFF2FF"/>
          </w:tcPr>
          <w:p>
            <w:pPr>
              <w:spacing w:after="0"/>
              <w:rPr>
                <w:sz w:val="19"/>
                <w:szCs w:val="19"/>
                <w:color w:val="auto"/>
              </w:rPr>
            </w:pPr>
          </w:p>
        </w:tc>
        <w:tc>
          <w:tcPr>
            <w:tcW w:w="1180" w:type="dxa"/>
            <w:vAlign w:val="bottom"/>
            <w:gridSpan w:val="2"/>
            <w:shd w:val="clear" w:color="auto" w:fill="CFF2FF"/>
          </w:tcPr>
          <w:p>
            <w:pPr>
              <w:jc w:val="right"/>
              <w:ind w:right="120"/>
              <w:spacing w:after="0"/>
              <w:rPr>
                <w:sz w:val="20"/>
                <w:szCs w:val="20"/>
                <w:color w:val="auto"/>
              </w:rPr>
            </w:pPr>
            <w:r>
              <w:rPr>
                <w:rFonts w:ascii="Arial" w:cs="Arial" w:eastAsia="Arial" w:hAnsi="Arial"/>
                <w:sz w:val="18"/>
                <w:szCs w:val="18"/>
                <w:color w:val="auto"/>
              </w:rPr>
              <w:t>—</w:t>
            </w:r>
          </w:p>
        </w:tc>
      </w:tr>
      <w:tr>
        <w:trPr>
          <w:trHeight w:val="229"/>
        </w:trPr>
        <w:tc>
          <w:tcPr>
            <w:tcW w:w="6940" w:type="dxa"/>
            <w:vAlign w:val="bottom"/>
          </w:tcPr>
          <w:p>
            <w:pPr>
              <w:ind w:left="480"/>
              <w:spacing w:after="0"/>
              <w:rPr>
                <w:sz w:val="20"/>
                <w:szCs w:val="20"/>
                <w:color w:val="auto"/>
              </w:rPr>
            </w:pPr>
            <w:r>
              <w:rPr>
                <w:rFonts w:ascii="Arial" w:cs="Arial" w:eastAsia="Arial" w:hAnsi="Arial"/>
                <w:sz w:val="18"/>
                <w:szCs w:val="18"/>
                <w:color w:val="auto"/>
              </w:rPr>
              <w:t>Operating lease liability</w:t>
            </w:r>
          </w:p>
        </w:tc>
        <w:tc>
          <w:tcPr>
            <w:tcW w:w="260" w:type="dxa"/>
            <w:vAlign w:val="bottom"/>
          </w:tcPr>
          <w:p>
            <w:pPr>
              <w:spacing w:after="0"/>
              <w:rPr>
                <w:sz w:val="19"/>
                <w:szCs w:val="19"/>
                <w:color w:val="auto"/>
              </w:rPr>
            </w:pP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(83)</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(64)</w:t>
            </w:r>
          </w:p>
        </w:tc>
      </w:tr>
      <w:tr>
        <w:trPr>
          <w:trHeight w:val="223"/>
        </w:trPr>
        <w:tc>
          <w:tcPr>
            <w:tcW w:w="6940" w:type="dxa"/>
            <w:vAlign w:val="bottom"/>
            <w:tcBorders>
              <w:top w:val="single" w:sz="8" w:color="CFF2FF"/>
            </w:tcBorders>
            <w:shd w:val="clear" w:color="auto" w:fill="CFF2FF"/>
          </w:tcPr>
          <w:p>
            <w:pPr>
              <w:spacing w:after="0"/>
              <w:rPr>
                <w:sz w:val="20"/>
                <w:szCs w:val="20"/>
                <w:color w:val="auto"/>
              </w:rPr>
            </w:pPr>
            <w:r>
              <w:rPr>
                <w:rFonts w:ascii="Arial" w:cs="Arial" w:eastAsia="Arial" w:hAnsi="Arial"/>
                <w:sz w:val="18"/>
                <w:szCs w:val="18"/>
                <w:color w:val="auto"/>
              </w:rPr>
              <w:t>Net cash used in operating activities</w:t>
            </w:r>
          </w:p>
        </w:tc>
        <w:tc>
          <w:tcPr>
            <w:tcW w:w="260" w:type="dxa"/>
            <w:vAlign w:val="bottom"/>
            <w:tcBorders>
              <w:top w:val="single" w:sz="8" w:color="auto"/>
              <w:bottom w:val="single" w:sz="8" w:color="auto"/>
            </w:tcBorders>
            <w:shd w:val="clear" w:color="auto" w:fill="CFF2FF"/>
          </w:tcPr>
          <w:p>
            <w:pPr>
              <w:spacing w:after="0"/>
              <w:rPr>
                <w:sz w:val="19"/>
                <w:szCs w:val="19"/>
                <w:color w:val="auto"/>
              </w:rPr>
            </w:pPr>
          </w:p>
        </w:tc>
        <w:tc>
          <w:tcPr>
            <w:tcW w:w="1140" w:type="dxa"/>
            <w:vAlign w:val="bottom"/>
            <w:tcBorders>
              <w:top w:val="single" w:sz="8" w:color="auto"/>
              <w:bottom w:val="single" w:sz="8" w:color="auto"/>
            </w:tcBorders>
            <w:shd w:val="clear" w:color="auto" w:fill="CFF2FF"/>
          </w:tcPr>
          <w:p>
            <w:pPr>
              <w:jc w:val="right"/>
              <w:spacing w:after="0"/>
              <w:rPr>
                <w:sz w:val="20"/>
                <w:szCs w:val="20"/>
                <w:color w:val="auto"/>
              </w:rPr>
            </w:pPr>
            <w:r>
              <w:rPr>
                <w:rFonts w:ascii="Arial" w:cs="Arial" w:eastAsia="Arial" w:hAnsi="Arial"/>
                <w:sz w:val="18"/>
                <w:szCs w:val="18"/>
                <w:color w:val="auto"/>
              </w:rPr>
              <w:t>(8,286)</w:t>
            </w:r>
          </w:p>
        </w:tc>
        <w:tc>
          <w:tcPr>
            <w:tcW w:w="160" w:type="dxa"/>
            <w:vAlign w:val="bottom"/>
            <w:tcBorders>
              <w:top w:val="single" w:sz="8" w:color="CFF2FF"/>
            </w:tcBorders>
            <w:shd w:val="clear" w:color="auto" w:fill="CFF2FF"/>
          </w:tcPr>
          <w:p>
            <w:pPr>
              <w:spacing w:after="0"/>
              <w:rPr>
                <w:sz w:val="19"/>
                <w:szCs w:val="19"/>
                <w:color w:val="auto"/>
              </w:rPr>
            </w:pPr>
          </w:p>
        </w:tc>
        <w:tc>
          <w:tcPr>
            <w:tcW w:w="100" w:type="dxa"/>
            <w:vAlign w:val="bottom"/>
            <w:tcBorders>
              <w:top w:val="single" w:sz="8" w:color="CFF2FF"/>
            </w:tcBorders>
            <w:shd w:val="clear" w:color="auto" w:fill="CFF2FF"/>
          </w:tcPr>
          <w:p>
            <w:pPr>
              <w:spacing w:after="0"/>
              <w:rPr>
                <w:sz w:val="19"/>
                <w:szCs w:val="19"/>
                <w:color w:val="auto"/>
              </w:rPr>
            </w:pPr>
          </w:p>
        </w:tc>
        <w:tc>
          <w:tcPr>
            <w:tcW w:w="320" w:type="dxa"/>
            <w:vAlign w:val="bottom"/>
            <w:tcBorders>
              <w:top w:val="single" w:sz="8" w:color="auto"/>
              <w:bottom w:val="single" w:sz="8" w:color="auto"/>
            </w:tcBorders>
            <w:shd w:val="clear" w:color="auto" w:fill="CFF2FF"/>
          </w:tcPr>
          <w:p>
            <w:pPr>
              <w:spacing w:after="0"/>
              <w:rPr>
                <w:sz w:val="19"/>
                <w:szCs w:val="19"/>
                <w:color w:val="auto"/>
              </w:rPr>
            </w:pPr>
          </w:p>
        </w:tc>
        <w:tc>
          <w:tcPr>
            <w:tcW w:w="1080" w:type="dxa"/>
            <w:vAlign w:val="bottom"/>
            <w:tcBorders>
              <w:top w:val="single" w:sz="8" w:color="auto"/>
              <w:bottom w:val="single" w:sz="8" w:color="auto"/>
            </w:tcBorders>
            <w:shd w:val="clear" w:color="auto" w:fill="CFF2FF"/>
          </w:tcPr>
          <w:p>
            <w:pPr>
              <w:jc w:val="right"/>
              <w:spacing w:after="0"/>
              <w:rPr>
                <w:sz w:val="20"/>
                <w:szCs w:val="20"/>
                <w:color w:val="auto"/>
              </w:rPr>
            </w:pPr>
            <w:r>
              <w:rPr>
                <w:rFonts w:ascii="Arial" w:cs="Arial" w:eastAsia="Arial" w:hAnsi="Arial"/>
                <w:sz w:val="18"/>
                <w:szCs w:val="18"/>
                <w:color w:val="auto"/>
              </w:rPr>
              <w:t>(16,500)</w:t>
            </w:r>
          </w:p>
        </w:tc>
        <w:tc>
          <w:tcPr>
            <w:tcW w:w="100" w:type="dxa"/>
            <w:vAlign w:val="bottom"/>
            <w:tcBorders>
              <w:top w:val="single" w:sz="8" w:color="CFF2FF"/>
            </w:tcBorders>
            <w:shd w:val="clear" w:color="auto" w:fill="CFF2FF"/>
          </w:tcPr>
          <w:p>
            <w:pPr>
              <w:spacing w:after="0"/>
              <w:rPr>
                <w:sz w:val="19"/>
                <w:szCs w:val="19"/>
                <w:color w:val="auto"/>
              </w:rPr>
            </w:pPr>
          </w:p>
        </w:tc>
      </w:tr>
      <w:tr>
        <w:trPr>
          <w:trHeight w:val="223"/>
        </w:trPr>
        <w:tc>
          <w:tcPr>
            <w:tcW w:w="6940" w:type="dxa"/>
            <w:vAlign w:val="bottom"/>
          </w:tcPr>
          <w:p>
            <w:pPr>
              <w:spacing w:after="0"/>
              <w:rPr>
                <w:sz w:val="20"/>
                <w:szCs w:val="20"/>
                <w:color w:val="auto"/>
              </w:rPr>
            </w:pPr>
            <w:r>
              <w:rPr>
                <w:rFonts w:ascii="Arial" w:cs="Arial" w:eastAsia="Arial" w:hAnsi="Arial"/>
                <w:sz w:val="18"/>
                <w:szCs w:val="18"/>
                <w:b w:val="1"/>
                <w:bCs w:val="1"/>
                <w:color w:val="auto"/>
              </w:rPr>
              <w:t>Cash flows from investing activities</w:t>
            </w:r>
          </w:p>
        </w:tc>
        <w:tc>
          <w:tcPr>
            <w:tcW w:w="2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6940" w:type="dxa"/>
            <w:vAlign w:val="bottom"/>
            <w:shd w:val="clear" w:color="auto" w:fill="CFF2FF"/>
          </w:tcPr>
          <w:p>
            <w:pPr>
              <w:ind w:left="240"/>
              <w:spacing w:after="0"/>
              <w:rPr>
                <w:sz w:val="20"/>
                <w:szCs w:val="20"/>
                <w:color w:val="auto"/>
              </w:rPr>
            </w:pPr>
            <w:r>
              <w:rPr>
                <w:rFonts w:ascii="Arial" w:cs="Arial" w:eastAsia="Arial" w:hAnsi="Arial"/>
                <w:sz w:val="18"/>
                <w:szCs w:val="18"/>
                <w:color w:val="auto"/>
              </w:rPr>
              <w:t>Sales and maturities of marketable securities</w:t>
            </w:r>
          </w:p>
        </w:tc>
        <w:tc>
          <w:tcPr>
            <w:tcW w:w="260" w:type="dxa"/>
            <w:vAlign w:val="bottom"/>
            <w:shd w:val="clear" w:color="auto" w:fill="CFF2FF"/>
          </w:tcPr>
          <w:p>
            <w:pPr>
              <w:spacing w:after="0"/>
              <w:rPr>
                <w:sz w:val="19"/>
                <w:szCs w:val="19"/>
                <w:color w:val="auto"/>
              </w:rPr>
            </w:pPr>
          </w:p>
        </w:tc>
        <w:tc>
          <w:tcPr>
            <w:tcW w:w="1140" w:type="dxa"/>
            <w:vAlign w:val="bottom"/>
            <w:shd w:val="clear" w:color="auto" w:fill="CFF2FF"/>
          </w:tcPr>
          <w:p>
            <w:pPr>
              <w:jc w:val="right"/>
              <w:spacing w:after="0"/>
              <w:rPr>
                <w:sz w:val="20"/>
                <w:szCs w:val="20"/>
                <w:color w:val="auto"/>
              </w:rPr>
            </w:pPr>
            <w:r>
              <w:rPr>
                <w:rFonts w:ascii="Arial" w:cs="Arial" w:eastAsia="Arial" w:hAnsi="Arial"/>
                <w:sz w:val="18"/>
                <w:szCs w:val="18"/>
                <w:color w:val="auto"/>
              </w:rPr>
              <w:t>35,600</w:t>
            </w:r>
          </w:p>
        </w:tc>
        <w:tc>
          <w:tcPr>
            <w:tcW w:w="160" w:type="dxa"/>
            <w:vAlign w:val="bottom"/>
            <w:shd w:val="clear" w:color="auto" w:fill="CFF2FF"/>
          </w:tcPr>
          <w:p>
            <w:pPr>
              <w:spacing w:after="0"/>
              <w:rPr>
                <w:sz w:val="19"/>
                <w:szCs w:val="19"/>
                <w:color w:val="auto"/>
              </w:rPr>
            </w:pPr>
          </w:p>
        </w:tc>
        <w:tc>
          <w:tcPr>
            <w:tcW w:w="100" w:type="dxa"/>
            <w:vAlign w:val="bottom"/>
            <w:shd w:val="clear" w:color="auto" w:fill="CFF2FF"/>
          </w:tcPr>
          <w:p>
            <w:pPr>
              <w:spacing w:after="0"/>
              <w:rPr>
                <w:sz w:val="19"/>
                <w:szCs w:val="19"/>
                <w:color w:val="auto"/>
              </w:rPr>
            </w:pPr>
          </w:p>
        </w:tc>
        <w:tc>
          <w:tcPr>
            <w:tcW w:w="320" w:type="dxa"/>
            <w:vAlign w:val="bottom"/>
            <w:shd w:val="clear" w:color="auto" w:fill="CFF2FF"/>
          </w:tcPr>
          <w:p>
            <w:pPr>
              <w:spacing w:after="0"/>
              <w:rPr>
                <w:sz w:val="19"/>
                <w:szCs w:val="19"/>
                <w:color w:val="auto"/>
              </w:rPr>
            </w:pPr>
          </w:p>
        </w:tc>
        <w:tc>
          <w:tcPr>
            <w:tcW w:w="1080" w:type="dxa"/>
            <w:vAlign w:val="bottom"/>
            <w:shd w:val="clear" w:color="auto" w:fill="CFF2FF"/>
          </w:tcPr>
          <w:p>
            <w:pPr>
              <w:jc w:val="right"/>
              <w:spacing w:after="0"/>
              <w:rPr>
                <w:sz w:val="20"/>
                <w:szCs w:val="20"/>
                <w:color w:val="auto"/>
              </w:rPr>
            </w:pPr>
            <w:r>
              <w:rPr>
                <w:rFonts w:ascii="Arial" w:cs="Arial" w:eastAsia="Arial" w:hAnsi="Arial"/>
                <w:sz w:val="18"/>
                <w:szCs w:val="18"/>
                <w:color w:val="auto"/>
              </w:rPr>
              <w:t>44,355</w:t>
            </w:r>
          </w:p>
        </w:tc>
        <w:tc>
          <w:tcPr>
            <w:tcW w:w="100" w:type="dxa"/>
            <w:vAlign w:val="bottom"/>
            <w:shd w:val="clear" w:color="auto" w:fill="CFF2FF"/>
          </w:tcPr>
          <w:p>
            <w:pPr>
              <w:spacing w:after="0"/>
              <w:rPr>
                <w:sz w:val="19"/>
                <w:szCs w:val="19"/>
                <w:color w:val="auto"/>
              </w:rPr>
            </w:pPr>
          </w:p>
        </w:tc>
      </w:tr>
      <w:tr>
        <w:trPr>
          <w:trHeight w:val="229"/>
        </w:trPr>
        <w:tc>
          <w:tcPr>
            <w:tcW w:w="6940" w:type="dxa"/>
            <w:vAlign w:val="bottom"/>
          </w:tcPr>
          <w:p>
            <w:pPr>
              <w:ind w:left="240"/>
              <w:spacing w:after="0"/>
              <w:rPr>
                <w:sz w:val="20"/>
                <w:szCs w:val="20"/>
                <w:color w:val="auto"/>
              </w:rPr>
            </w:pPr>
            <w:r>
              <w:rPr>
                <w:rFonts w:ascii="Arial" w:cs="Arial" w:eastAsia="Arial" w:hAnsi="Arial"/>
                <w:sz w:val="18"/>
                <w:szCs w:val="18"/>
                <w:color w:val="auto"/>
              </w:rPr>
              <w:t>Purchases of marketable securities</w:t>
            </w:r>
          </w:p>
        </w:tc>
        <w:tc>
          <w:tcPr>
            <w:tcW w:w="260" w:type="dxa"/>
            <w:vAlign w:val="bottom"/>
          </w:tcPr>
          <w:p>
            <w:pPr>
              <w:spacing w:after="0"/>
              <w:rPr>
                <w:sz w:val="19"/>
                <w:szCs w:val="19"/>
                <w:color w:val="auto"/>
              </w:rPr>
            </w:pP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(46,216)</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(22,136)</w:t>
            </w:r>
          </w:p>
        </w:tc>
      </w:tr>
      <w:tr>
        <w:trPr>
          <w:trHeight w:val="229"/>
        </w:trPr>
        <w:tc>
          <w:tcPr>
            <w:tcW w:w="6940" w:type="dxa"/>
            <w:vAlign w:val="bottom"/>
            <w:shd w:val="clear" w:color="auto" w:fill="CFF2FF"/>
          </w:tcPr>
          <w:p>
            <w:pPr>
              <w:ind w:left="240"/>
              <w:spacing w:after="0"/>
              <w:rPr>
                <w:sz w:val="20"/>
                <w:szCs w:val="20"/>
                <w:color w:val="auto"/>
              </w:rPr>
            </w:pPr>
            <w:r>
              <w:rPr>
                <w:rFonts w:ascii="Arial" w:cs="Arial" w:eastAsia="Arial" w:hAnsi="Arial"/>
                <w:sz w:val="18"/>
                <w:szCs w:val="18"/>
                <w:color w:val="auto"/>
              </w:rPr>
              <w:t>Purchases of property and equipment</w:t>
            </w:r>
          </w:p>
        </w:tc>
        <w:tc>
          <w:tcPr>
            <w:tcW w:w="260" w:type="dxa"/>
            <w:vAlign w:val="bottom"/>
            <w:shd w:val="clear" w:color="auto" w:fill="CFF2FF"/>
          </w:tcPr>
          <w:p>
            <w:pPr>
              <w:spacing w:after="0"/>
              <w:rPr>
                <w:sz w:val="19"/>
                <w:szCs w:val="19"/>
                <w:color w:val="auto"/>
              </w:rPr>
            </w:pPr>
          </w:p>
        </w:tc>
        <w:tc>
          <w:tcPr>
            <w:tcW w:w="1300" w:type="dxa"/>
            <w:vAlign w:val="bottom"/>
            <w:gridSpan w:val="2"/>
            <w:shd w:val="clear" w:color="auto" w:fill="CFF2FF"/>
          </w:tcPr>
          <w:p>
            <w:pPr>
              <w:jc w:val="right"/>
              <w:ind w:right="100"/>
              <w:spacing w:after="0"/>
              <w:rPr>
                <w:sz w:val="20"/>
                <w:szCs w:val="20"/>
                <w:color w:val="auto"/>
              </w:rPr>
            </w:pPr>
            <w:r>
              <w:rPr>
                <w:rFonts w:ascii="Arial" w:cs="Arial" w:eastAsia="Arial" w:hAnsi="Arial"/>
                <w:sz w:val="18"/>
                <w:szCs w:val="18"/>
                <w:color w:val="auto"/>
              </w:rPr>
              <w:t>(607)</w:t>
            </w:r>
          </w:p>
        </w:tc>
        <w:tc>
          <w:tcPr>
            <w:tcW w:w="100" w:type="dxa"/>
            <w:vAlign w:val="bottom"/>
            <w:shd w:val="clear" w:color="auto" w:fill="CFF2FF"/>
          </w:tcPr>
          <w:p>
            <w:pPr>
              <w:spacing w:after="0"/>
              <w:rPr>
                <w:sz w:val="19"/>
                <w:szCs w:val="19"/>
                <w:color w:val="auto"/>
              </w:rPr>
            </w:pPr>
          </w:p>
        </w:tc>
        <w:tc>
          <w:tcPr>
            <w:tcW w:w="320" w:type="dxa"/>
            <w:vAlign w:val="bottom"/>
            <w:shd w:val="clear" w:color="auto" w:fill="CFF2FF"/>
          </w:tcPr>
          <w:p>
            <w:pPr>
              <w:spacing w:after="0"/>
              <w:rPr>
                <w:sz w:val="19"/>
                <w:szCs w:val="19"/>
                <w:color w:val="auto"/>
              </w:rPr>
            </w:pPr>
          </w:p>
        </w:tc>
        <w:tc>
          <w:tcPr>
            <w:tcW w:w="1180" w:type="dxa"/>
            <w:vAlign w:val="bottom"/>
            <w:gridSpan w:val="2"/>
            <w:shd w:val="clear" w:color="auto" w:fill="CFF2FF"/>
          </w:tcPr>
          <w:p>
            <w:pPr>
              <w:jc w:val="right"/>
              <w:ind w:right="40"/>
              <w:spacing w:after="0"/>
              <w:rPr>
                <w:sz w:val="20"/>
                <w:szCs w:val="20"/>
                <w:color w:val="auto"/>
              </w:rPr>
            </w:pPr>
            <w:r>
              <w:rPr>
                <w:rFonts w:ascii="Arial" w:cs="Arial" w:eastAsia="Arial" w:hAnsi="Arial"/>
                <w:sz w:val="18"/>
                <w:szCs w:val="18"/>
                <w:color w:val="auto"/>
              </w:rPr>
              <w:t>(815)</w:t>
            </w:r>
          </w:p>
        </w:tc>
      </w:tr>
      <w:tr>
        <w:trPr>
          <w:trHeight w:val="230"/>
        </w:trPr>
        <w:tc>
          <w:tcPr>
            <w:tcW w:w="6940" w:type="dxa"/>
            <w:vAlign w:val="bottom"/>
          </w:tcPr>
          <w:p>
            <w:pPr>
              <w:ind w:left="240"/>
              <w:spacing w:after="0"/>
              <w:rPr>
                <w:sz w:val="20"/>
                <w:szCs w:val="20"/>
                <w:color w:val="auto"/>
              </w:rPr>
            </w:pPr>
            <w:r>
              <w:rPr>
                <w:rFonts w:ascii="Arial" w:cs="Arial" w:eastAsia="Arial" w:hAnsi="Arial"/>
                <w:sz w:val="18"/>
                <w:szCs w:val="18"/>
                <w:color w:val="auto"/>
              </w:rPr>
              <w:t>Deposits</w:t>
            </w:r>
          </w:p>
        </w:tc>
        <w:tc>
          <w:tcPr>
            <w:tcW w:w="260" w:type="dxa"/>
            <w:vAlign w:val="bottom"/>
          </w:tcPr>
          <w:p>
            <w:pPr>
              <w:spacing w:after="0"/>
              <w:rPr>
                <w:sz w:val="19"/>
                <w:szCs w:val="19"/>
                <w:color w:val="auto"/>
              </w:rPr>
            </w:pP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(77)</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23"/>
        </w:trPr>
        <w:tc>
          <w:tcPr>
            <w:tcW w:w="6940" w:type="dxa"/>
            <w:vAlign w:val="bottom"/>
            <w:tcBorders>
              <w:top w:val="single" w:sz="8" w:color="CFF2FF"/>
            </w:tcBorders>
            <w:shd w:val="clear" w:color="auto" w:fill="CFF2FF"/>
          </w:tcPr>
          <w:p>
            <w:pPr>
              <w:spacing w:after="0"/>
              <w:rPr>
                <w:sz w:val="20"/>
                <w:szCs w:val="20"/>
                <w:color w:val="auto"/>
              </w:rPr>
            </w:pPr>
            <w:r>
              <w:rPr>
                <w:rFonts w:ascii="Arial" w:cs="Arial" w:eastAsia="Arial" w:hAnsi="Arial"/>
                <w:sz w:val="18"/>
                <w:szCs w:val="18"/>
                <w:color w:val="auto"/>
              </w:rPr>
              <w:t>Net cash (used in) provided by investing activities</w:t>
            </w:r>
          </w:p>
        </w:tc>
        <w:tc>
          <w:tcPr>
            <w:tcW w:w="260" w:type="dxa"/>
            <w:vAlign w:val="bottom"/>
            <w:tcBorders>
              <w:top w:val="single" w:sz="8" w:color="auto"/>
              <w:bottom w:val="single" w:sz="8" w:color="auto"/>
            </w:tcBorders>
            <w:shd w:val="clear" w:color="auto" w:fill="CFF2FF"/>
          </w:tcPr>
          <w:p>
            <w:pPr>
              <w:spacing w:after="0"/>
              <w:rPr>
                <w:sz w:val="19"/>
                <w:szCs w:val="19"/>
                <w:color w:val="auto"/>
              </w:rPr>
            </w:pPr>
          </w:p>
        </w:tc>
        <w:tc>
          <w:tcPr>
            <w:tcW w:w="1140" w:type="dxa"/>
            <w:vAlign w:val="bottom"/>
            <w:tcBorders>
              <w:top w:val="single" w:sz="8" w:color="auto"/>
              <w:bottom w:val="single" w:sz="8" w:color="auto"/>
            </w:tcBorders>
            <w:shd w:val="clear" w:color="auto" w:fill="CFF2FF"/>
          </w:tcPr>
          <w:p>
            <w:pPr>
              <w:jc w:val="right"/>
              <w:spacing w:after="0"/>
              <w:rPr>
                <w:sz w:val="20"/>
                <w:szCs w:val="20"/>
                <w:color w:val="auto"/>
              </w:rPr>
            </w:pPr>
            <w:r>
              <w:rPr>
                <w:rFonts w:ascii="Arial" w:cs="Arial" w:eastAsia="Arial" w:hAnsi="Arial"/>
                <w:sz w:val="18"/>
                <w:szCs w:val="18"/>
                <w:color w:val="auto"/>
              </w:rPr>
              <w:t>(11,300)</w:t>
            </w:r>
          </w:p>
        </w:tc>
        <w:tc>
          <w:tcPr>
            <w:tcW w:w="160" w:type="dxa"/>
            <w:vAlign w:val="bottom"/>
            <w:tcBorders>
              <w:top w:val="single" w:sz="8" w:color="CFF2FF"/>
            </w:tcBorders>
            <w:shd w:val="clear" w:color="auto" w:fill="CFF2FF"/>
          </w:tcPr>
          <w:p>
            <w:pPr>
              <w:spacing w:after="0"/>
              <w:rPr>
                <w:sz w:val="19"/>
                <w:szCs w:val="19"/>
                <w:color w:val="auto"/>
              </w:rPr>
            </w:pPr>
          </w:p>
        </w:tc>
        <w:tc>
          <w:tcPr>
            <w:tcW w:w="100" w:type="dxa"/>
            <w:vAlign w:val="bottom"/>
            <w:tcBorders>
              <w:top w:val="single" w:sz="8" w:color="CFF2FF"/>
            </w:tcBorders>
            <w:shd w:val="clear" w:color="auto" w:fill="CFF2FF"/>
          </w:tcPr>
          <w:p>
            <w:pPr>
              <w:spacing w:after="0"/>
              <w:rPr>
                <w:sz w:val="19"/>
                <w:szCs w:val="19"/>
                <w:color w:val="auto"/>
              </w:rPr>
            </w:pPr>
          </w:p>
        </w:tc>
        <w:tc>
          <w:tcPr>
            <w:tcW w:w="320" w:type="dxa"/>
            <w:vAlign w:val="bottom"/>
            <w:tcBorders>
              <w:top w:val="single" w:sz="8" w:color="auto"/>
              <w:bottom w:val="single" w:sz="8" w:color="auto"/>
            </w:tcBorders>
            <w:shd w:val="clear" w:color="auto" w:fill="CFF2FF"/>
          </w:tcPr>
          <w:p>
            <w:pPr>
              <w:spacing w:after="0"/>
              <w:rPr>
                <w:sz w:val="19"/>
                <w:szCs w:val="19"/>
                <w:color w:val="auto"/>
              </w:rPr>
            </w:pPr>
          </w:p>
        </w:tc>
        <w:tc>
          <w:tcPr>
            <w:tcW w:w="1080" w:type="dxa"/>
            <w:vAlign w:val="bottom"/>
            <w:tcBorders>
              <w:top w:val="single" w:sz="8" w:color="auto"/>
              <w:bottom w:val="single" w:sz="8" w:color="auto"/>
            </w:tcBorders>
            <w:shd w:val="clear" w:color="auto" w:fill="CFF2FF"/>
          </w:tcPr>
          <w:p>
            <w:pPr>
              <w:jc w:val="right"/>
              <w:spacing w:after="0"/>
              <w:rPr>
                <w:sz w:val="20"/>
                <w:szCs w:val="20"/>
                <w:color w:val="auto"/>
              </w:rPr>
            </w:pPr>
            <w:r>
              <w:rPr>
                <w:rFonts w:ascii="Arial" w:cs="Arial" w:eastAsia="Arial" w:hAnsi="Arial"/>
                <w:sz w:val="18"/>
                <w:szCs w:val="18"/>
                <w:color w:val="auto"/>
              </w:rPr>
              <w:t>21,404</w:t>
            </w:r>
          </w:p>
        </w:tc>
        <w:tc>
          <w:tcPr>
            <w:tcW w:w="100" w:type="dxa"/>
            <w:vAlign w:val="bottom"/>
            <w:tcBorders>
              <w:top w:val="single" w:sz="8" w:color="CFF2FF"/>
            </w:tcBorders>
            <w:shd w:val="clear" w:color="auto" w:fill="CFF2FF"/>
          </w:tcPr>
          <w:p>
            <w:pPr>
              <w:spacing w:after="0"/>
              <w:rPr>
                <w:sz w:val="19"/>
                <w:szCs w:val="19"/>
                <w:color w:val="auto"/>
              </w:rPr>
            </w:pPr>
          </w:p>
        </w:tc>
      </w:tr>
      <w:tr>
        <w:trPr>
          <w:trHeight w:val="223"/>
        </w:trPr>
        <w:tc>
          <w:tcPr>
            <w:tcW w:w="6940" w:type="dxa"/>
            <w:vAlign w:val="bottom"/>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2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29"/>
        </w:trPr>
        <w:tc>
          <w:tcPr>
            <w:tcW w:w="6940" w:type="dxa"/>
            <w:vAlign w:val="bottom"/>
            <w:shd w:val="clear" w:color="auto" w:fill="CFF2FF"/>
          </w:tcPr>
          <w:p>
            <w:pPr>
              <w:ind w:left="240"/>
              <w:spacing w:after="0"/>
              <w:rPr>
                <w:sz w:val="20"/>
                <w:szCs w:val="20"/>
                <w:color w:val="auto"/>
              </w:rPr>
            </w:pPr>
            <w:r>
              <w:rPr>
                <w:rFonts w:ascii="Arial" w:cs="Arial" w:eastAsia="Arial" w:hAnsi="Arial"/>
                <w:sz w:val="18"/>
                <w:szCs w:val="18"/>
                <w:color w:val="auto"/>
              </w:rPr>
              <w:t>Proceeds from exercise of stock options</w:t>
            </w:r>
          </w:p>
        </w:tc>
        <w:tc>
          <w:tcPr>
            <w:tcW w:w="260" w:type="dxa"/>
            <w:vAlign w:val="bottom"/>
            <w:shd w:val="clear" w:color="auto" w:fill="CFF2FF"/>
          </w:tcPr>
          <w:p>
            <w:pPr>
              <w:spacing w:after="0"/>
              <w:rPr>
                <w:sz w:val="19"/>
                <w:szCs w:val="19"/>
                <w:color w:val="auto"/>
              </w:rPr>
            </w:pPr>
          </w:p>
        </w:tc>
        <w:tc>
          <w:tcPr>
            <w:tcW w:w="1140" w:type="dxa"/>
            <w:vAlign w:val="bottom"/>
            <w:shd w:val="clear" w:color="auto" w:fill="CFF2FF"/>
          </w:tcPr>
          <w:p>
            <w:pPr>
              <w:jc w:val="right"/>
              <w:spacing w:after="0"/>
              <w:rPr>
                <w:sz w:val="20"/>
                <w:szCs w:val="20"/>
                <w:color w:val="auto"/>
              </w:rPr>
            </w:pPr>
            <w:r>
              <w:rPr>
                <w:rFonts w:ascii="Arial" w:cs="Arial" w:eastAsia="Arial" w:hAnsi="Arial"/>
                <w:sz w:val="18"/>
                <w:szCs w:val="18"/>
                <w:color w:val="auto"/>
              </w:rPr>
              <w:t>513</w:t>
            </w:r>
          </w:p>
        </w:tc>
        <w:tc>
          <w:tcPr>
            <w:tcW w:w="160" w:type="dxa"/>
            <w:vAlign w:val="bottom"/>
            <w:shd w:val="clear" w:color="auto" w:fill="CFF2FF"/>
          </w:tcPr>
          <w:p>
            <w:pPr>
              <w:spacing w:after="0"/>
              <w:rPr>
                <w:sz w:val="19"/>
                <w:szCs w:val="19"/>
                <w:color w:val="auto"/>
              </w:rPr>
            </w:pPr>
          </w:p>
        </w:tc>
        <w:tc>
          <w:tcPr>
            <w:tcW w:w="100" w:type="dxa"/>
            <w:vAlign w:val="bottom"/>
            <w:shd w:val="clear" w:color="auto" w:fill="CFF2FF"/>
          </w:tcPr>
          <w:p>
            <w:pPr>
              <w:spacing w:after="0"/>
              <w:rPr>
                <w:sz w:val="19"/>
                <w:szCs w:val="19"/>
                <w:color w:val="auto"/>
              </w:rPr>
            </w:pPr>
          </w:p>
        </w:tc>
        <w:tc>
          <w:tcPr>
            <w:tcW w:w="320" w:type="dxa"/>
            <w:vAlign w:val="bottom"/>
            <w:shd w:val="clear" w:color="auto" w:fill="CFF2FF"/>
          </w:tcPr>
          <w:p>
            <w:pPr>
              <w:spacing w:after="0"/>
              <w:rPr>
                <w:sz w:val="19"/>
                <w:szCs w:val="19"/>
                <w:color w:val="auto"/>
              </w:rPr>
            </w:pPr>
          </w:p>
        </w:tc>
        <w:tc>
          <w:tcPr>
            <w:tcW w:w="1080" w:type="dxa"/>
            <w:vAlign w:val="bottom"/>
            <w:shd w:val="clear" w:color="auto" w:fill="CFF2FF"/>
          </w:tcPr>
          <w:p>
            <w:pPr>
              <w:jc w:val="right"/>
              <w:spacing w:after="0"/>
              <w:rPr>
                <w:sz w:val="20"/>
                <w:szCs w:val="20"/>
                <w:color w:val="auto"/>
              </w:rPr>
            </w:pPr>
            <w:r>
              <w:rPr>
                <w:rFonts w:ascii="Arial" w:cs="Arial" w:eastAsia="Arial" w:hAnsi="Arial"/>
                <w:sz w:val="18"/>
                <w:szCs w:val="18"/>
                <w:color w:val="auto"/>
              </w:rPr>
              <w:t>7</w:t>
            </w:r>
          </w:p>
        </w:tc>
        <w:tc>
          <w:tcPr>
            <w:tcW w:w="100" w:type="dxa"/>
            <w:vAlign w:val="bottom"/>
            <w:shd w:val="clear" w:color="auto" w:fill="CFF2FF"/>
          </w:tcPr>
          <w:p>
            <w:pPr>
              <w:spacing w:after="0"/>
              <w:rPr>
                <w:sz w:val="19"/>
                <w:szCs w:val="19"/>
                <w:color w:val="auto"/>
              </w:rPr>
            </w:pPr>
          </w:p>
        </w:tc>
      </w:tr>
      <w:tr>
        <w:trPr>
          <w:trHeight w:val="230"/>
        </w:trPr>
        <w:tc>
          <w:tcPr>
            <w:tcW w:w="6940" w:type="dxa"/>
            <w:vAlign w:val="bottom"/>
          </w:tcPr>
          <w:p>
            <w:pPr>
              <w:ind w:left="240"/>
              <w:spacing w:after="0"/>
              <w:rPr>
                <w:sz w:val="20"/>
                <w:szCs w:val="20"/>
                <w:color w:val="auto"/>
              </w:rPr>
            </w:pPr>
            <w:r>
              <w:rPr>
                <w:rFonts w:ascii="Arial" w:cs="Arial" w:eastAsia="Arial" w:hAnsi="Arial"/>
                <w:sz w:val="18"/>
                <w:szCs w:val="18"/>
                <w:color w:val="auto"/>
              </w:rPr>
              <w:t>Proceeds from issuance of common stock, net of issuance costs</w:t>
            </w:r>
          </w:p>
        </w:tc>
        <w:tc>
          <w:tcPr>
            <w:tcW w:w="26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28,119</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30"/>
        </w:trPr>
        <w:tc>
          <w:tcPr>
            <w:tcW w:w="6940" w:type="dxa"/>
            <w:vAlign w:val="bottom"/>
            <w:shd w:val="clear" w:color="auto" w:fill="CFF2FF"/>
          </w:tcPr>
          <w:p>
            <w:pPr>
              <w:ind w:left="240"/>
              <w:spacing w:after="0"/>
              <w:rPr>
                <w:sz w:val="20"/>
                <w:szCs w:val="20"/>
                <w:color w:val="auto"/>
              </w:rPr>
            </w:pPr>
            <w:r>
              <w:rPr>
                <w:rFonts w:ascii="Arial" w:cs="Arial" w:eastAsia="Arial" w:hAnsi="Arial"/>
                <w:sz w:val="18"/>
                <w:szCs w:val="18"/>
                <w:color w:val="auto"/>
              </w:rPr>
              <w:t>Proceeds from issuance of debt, net</w:t>
            </w:r>
          </w:p>
        </w:tc>
        <w:tc>
          <w:tcPr>
            <w:tcW w:w="260" w:type="dxa"/>
            <w:vAlign w:val="bottom"/>
            <w:shd w:val="clear" w:color="auto" w:fill="CFF2FF"/>
          </w:tcPr>
          <w:p>
            <w:pPr>
              <w:spacing w:after="0"/>
              <w:rPr>
                <w:sz w:val="19"/>
                <w:szCs w:val="19"/>
                <w:color w:val="auto"/>
              </w:rPr>
            </w:pPr>
          </w:p>
        </w:tc>
        <w:tc>
          <w:tcPr>
            <w:tcW w:w="1140" w:type="dxa"/>
            <w:vAlign w:val="bottom"/>
            <w:shd w:val="clear" w:color="auto" w:fill="CFF2FF"/>
          </w:tcPr>
          <w:p>
            <w:pPr>
              <w:jc w:val="right"/>
              <w:spacing w:after="0"/>
              <w:rPr>
                <w:sz w:val="20"/>
                <w:szCs w:val="20"/>
                <w:color w:val="auto"/>
              </w:rPr>
            </w:pPr>
            <w:r>
              <w:rPr>
                <w:rFonts w:ascii="Arial" w:cs="Arial" w:eastAsia="Arial" w:hAnsi="Arial"/>
                <w:sz w:val="18"/>
                <w:szCs w:val="18"/>
                <w:color w:val="auto"/>
              </w:rPr>
              <w:t>4,975</w:t>
            </w:r>
          </w:p>
        </w:tc>
        <w:tc>
          <w:tcPr>
            <w:tcW w:w="160" w:type="dxa"/>
            <w:vAlign w:val="bottom"/>
            <w:shd w:val="clear" w:color="auto" w:fill="CFF2FF"/>
          </w:tcPr>
          <w:p>
            <w:pPr>
              <w:spacing w:after="0"/>
              <w:rPr>
                <w:sz w:val="19"/>
                <w:szCs w:val="19"/>
                <w:color w:val="auto"/>
              </w:rPr>
            </w:pPr>
          </w:p>
        </w:tc>
        <w:tc>
          <w:tcPr>
            <w:tcW w:w="100" w:type="dxa"/>
            <w:vAlign w:val="bottom"/>
            <w:shd w:val="clear" w:color="auto" w:fill="CFF2FF"/>
          </w:tcPr>
          <w:p>
            <w:pPr>
              <w:spacing w:after="0"/>
              <w:rPr>
                <w:sz w:val="19"/>
                <w:szCs w:val="19"/>
                <w:color w:val="auto"/>
              </w:rPr>
            </w:pPr>
          </w:p>
        </w:tc>
        <w:tc>
          <w:tcPr>
            <w:tcW w:w="320" w:type="dxa"/>
            <w:vAlign w:val="bottom"/>
            <w:shd w:val="clear" w:color="auto" w:fill="CFF2FF"/>
          </w:tcPr>
          <w:p>
            <w:pPr>
              <w:spacing w:after="0"/>
              <w:rPr>
                <w:sz w:val="19"/>
                <w:szCs w:val="19"/>
                <w:color w:val="auto"/>
              </w:rPr>
            </w:pPr>
          </w:p>
        </w:tc>
        <w:tc>
          <w:tcPr>
            <w:tcW w:w="1080" w:type="dxa"/>
            <w:vAlign w:val="bottom"/>
            <w:shd w:val="clear" w:color="auto" w:fill="CFF2FF"/>
          </w:tcPr>
          <w:p>
            <w:pPr>
              <w:jc w:val="right"/>
              <w:spacing w:after="0"/>
              <w:rPr>
                <w:sz w:val="20"/>
                <w:szCs w:val="20"/>
                <w:color w:val="auto"/>
              </w:rPr>
            </w:pPr>
            <w:r>
              <w:rPr>
                <w:rFonts w:ascii="Arial" w:cs="Arial" w:eastAsia="Arial" w:hAnsi="Arial"/>
                <w:sz w:val="18"/>
                <w:szCs w:val="18"/>
                <w:color w:val="auto"/>
              </w:rPr>
              <w:t>34,460</w:t>
            </w:r>
          </w:p>
        </w:tc>
        <w:tc>
          <w:tcPr>
            <w:tcW w:w="100" w:type="dxa"/>
            <w:vAlign w:val="bottom"/>
            <w:shd w:val="clear" w:color="auto" w:fill="CFF2FF"/>
          </w:tcPr>
          <w:p>
            <w:pPr>
              <w:spacing w:after="0"/>
              <w:rPr>
                <w:sz w:val="19"/>
                <w:szCs w:val="19"/>
                <w:color w:val="auto"/>
              </w:rPr>
            </w:pPr>
          </w:p>
        </w:tc>
      </w:tr>
      <w:tr>
        <w:trPr>
          <w:trHeight w:val="230"/>
        </w:trPr>
        <w:tc>
          <w:tcPr>
            <w:tcW w:w="6940" w:type="dxa"/>
            <w:vAlign w:val="bottom"/>
          </w:tcPr>
          <w:p>
            <w:pPr>
              <w:ind w:left="240"/>
              <w:spacing w:after="0"/>
              <w:rPr>
                <w:sz w:val="20"/>
                <w:szCs w:val="20"/>
                <w:color w:val="auto"/>
              </w:rPr>
            </w:pPr>
            <w:r>
              <w:rPr>
                <w:rFonts w:ascii="Arial" w:cs="Arial" w:eastAsia="Arial" w:hAnsi="Arial"/>
                <w:sz w:val="18"/>
                <w:szCs w:val="18"/>
                <w:color w:val="auto"/>
              </w:rPr>
              <w:t>Debt issuance costs</w:t>
            </w:r>
          </w:p>
        </w:tc>
        <w:tc>
          <w:tcPr>
            <w:tcW w:w="260" w:type="dxa"/>
            <w:vAlign w:val="bottom"/>
          </w:tcPr>
          <w:p>
            <w:pPr>
              <w:spacing w:after="0"/>
              <w:rPr>
                <w:sz w:val="19"/>
                <w:szCs w:val="19"/>
                <w:color w:val="auto"/>
              </w:rPr>
            </w:pPr>
          </w:p>
        </w:tc>
        <w:tc>
          <w:tcPr>
            <w:tcW w:w="13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(90)</w:t>
            </w:r>
          </w:p>
        </w:tc>
      </w:tr>
      <w:tr>
        <w:trPr>
          <w:trHeight w:val="229"/>
        </w:trPr>
        <w:tc>
          <w:tcPr>
            <w:tcW w:w="6940" w:type="dxa"/>
            <w:vAlign w:val="bottom"/>
            <w:shd w:val="clear" w:color="auto" w:fill="CFF2FF"/>
          </w:tcPr>
          <w:p>
            <w:pPr>
              <w:ind w:left="240"/>
              <w:spacing w:after="0"/>
              <w:rPr>
                <w:sz w:val="20"/>
                <w:szCs w:val="20"/>
                <w:color w:val="auto"/>
              </w:rPr>
            </w:pPr>
            <w:r>
              <w:rPr>
                <w:rFonts w:ascii="Arial" w:cs="Arial" w:eastAsia="Arial" w:hAnsi="Arial"/>
                <w:sz w:val="18"/>
                <w:szCs w:val="18"/>
                <w:color w:val="auto"/>
              </w:rPr>
              <w:t>Repayment of financing lease</w:t>
            </w:r>
          </w:p>
        </w:tc>
        <w:tc>
          <w:tcPr>
            <w:tcW w:w="260" w:type="dxa"/>
            <w:vAlign w:val="bottom"/>
            <w:shd w:val="clear" w:color="auto" w:fill="CFF2FF"/>
          </w:tcPr>
          <w:p>
            <w:pPr>
              <w:spacing w:after="0"/>
              <w:rPr>
                <w:sz w:val="19"/>
                <w:szCs w:val="19"/>
                <w:color w:val="auto"/>
              </w:rPr>
            </w:pPr>
          </w:p>
        </w:tc>
        <w:tc>
          <w:tcPr>
            <w:tcW w:w="1300" w:type="dxa"/>
            <w:vAlign w:val="bottom"/>
            <w:gridSpan w:val="2"/>
            <w:shd w:val="clear" w:color="auto" w:fill="CFF2FF"/>
          </w:tcPr>
          <w:p>
            <w:pPr>
              <w:jc w:val="right"/>
              <w:ind w:right="100"/>
              <w:spacing w:after="0"/>
              <w:rPr>
                <w:sz w:val="20"/>
                <w:szCs w:val="20"/>
                <w:color w:val="auto"/>
              </w:rPr>
            </w:pPr>
            <w:r>
              <w:rPr>
                <w:rFonts w:ascii="Arial" w:cs="Arial" w:eastAsia="Arial" w:hAnsi="Arial"/>
                <w:sz w:val="18"/>
                <w:szCs w:val="18"/>
                <w:color w:val="auto"/>
              </w:rPr>
              <w:t>(1)</w:t>
            </w:r>
          </w:p>
        </w:tc>
        <w:tc>
          <w:tcPr>
            <w:tcW w:w="100" w:type="dxa"/>
            <w:vAlign w:val="bottom"/>
            <w:shd w:val="clear" w:color="auto" w:fill="CFF2FF"/>
          </w:tcPr>
          <w:p>
            <w:pPr>
              <w:spacing w:after="0"/>
              <w:rPr>
                <w:sz w:val="19"/>
                <w:szCs w:val="19"/>
                <w:color w:val="auto"/>
              </w:rPr>
            </w:pPr>
          </w:p>
        </w:tc>
        <w:tc>
          <w:tcPr>
            <w:tcW w:w="320" w:type="dxa"/>
            <w:vAlign w:val="bottom"/>
            <w:shd w:val="clear" w:color="auto" w:fill="CFF2FF"/>
          </w:tcPr>
          <w:p>
            <w:pPr>
              <w:spacing w:after="0"/>
              <w:rPr>
                <w:sz w:val="19"/>
                <w:szCs w:val="19"/>
                <w:color w:val="auto"/>
              </w:rPr>
            </w:pPr>
          </w:p>
        </w:tc>
        <w:tc>
          <w:tcPr>
            <w:tcW w:w="1180" w:type="dxa"/>
            <w:vAlign w:val="bottom"/>
            <w:gridSpan w:val="2"/>
            <w:shd w:val="clear" w:color="auto" w:fill="CFF2FF"/>
          </w:tcPr>
          <w:p>
            <w:pPr>
              <w:jc w:val="right"/>
              <w:ind w:right="120"/>
              <w:spacing w:after="0"/>
              <w:rPr>
                <w:sz w:val="20"/>
                <w:szCs w:val="20"/>
                <w:color w:val="auto"/>
              </w:rPr>
            </w:pPr>
            <w:r>
              <w:rPr>
                <w:rFonts w:ascii="Arial" w:cs="Arial" w:eastAsia="Arial" w:hAnsi="Arial"/>
                <w:sz w:val="18"/>
                <w:szCs w:val="18"/>
                <w:color w:val="auto"/>
              </w:rPr>
              <w:t>—</w:t>
            </w:r>
          </w:p>
        </w:tc>
      </w:tr>
      <w:tr>
        <w:trPr>
          <w:trHeight w:val="230"/>
        </w:trPr>
        <w:tc>
          <w:tcPr>
            <w:tcW w:w="6940" w:type="dxa"/>
            <w:vAlign w:val="bottom"/>
          </w:tcPr>
          <w:p>
            <w:pPr>
              <w:ind w:left="240"/>
              <w:spacing w:after="0"/>
              <w:rPr>
                <w:sz w:val="20"/>
                <w:szCs w:val="20"/>
                <w:color w:val="auto"/>
              </w:rPr>
            </w:pPr>
            <w:r>
              <w:rPr>
                <w:rFonts w:ascii="Arial" w:cs="Arial" w:eastAsia="Arial" w:hAnsi="Arial"/>
                <w:sz w:val="18"/>
                <w:szCs w:val="18"/>
                <w:color w:val="auto"/>
              </w:rPr>
              <w:t>Repayment of subscription receivable</w:t>
            </w:r>
          </w:p>
        </w:tc>
        <w:tc>
          <w:tcPr>
            <w:tcW w:w="260" w:type="dxa"/>
            <w:vAlign w:val="bottom"/>
          </w:tcPr>
          <w:p>
            <w:pPr>
              <w:spacing w:after="0"/>
              <w:rPr>
                <w:sz w:val="19"/>
                <w:szCs w:val="19"/>
                <w:color w:val="auto"/>
              </w:rPr>
            </w:pPr>
          </w:p>
        </w:tc>
        <w:tc>
          <w:tcPr>
            <w:tcW w:w="13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410</w:t>
            </w:r>
          </w:p>
        </w:tc>
        <w:tc>
          <w:tcPr>
            <w:tcW w:w="100" w:type="dxa"/>
            <w:vAlign w:val="bottom"/>
          </w:tcPr>
          <w:p>
            <w:pPr>
              <w:spacing w:after="0"/>
              <w:rPr>
                <w:sz w:val="19"/>
                <w:szCs w:val="19"/>
                <w:color w:val="auto"/>
              </w:rPr>
            </w:pPr>
          </w:p>
        </w:tc>
      </w:tr>
      <w:tr>
        <w:trPr>
          <w:trHeight w:val="223"/>
        </w:trPr>
        <w:tc>
          <w:tcPr>
            <w:tcW w:w="6940" w:type="dxa"/>
            <w:vAlign w:val="bottom"/>
            <w:tcBorders>
              <w:top w:val="single" w:sz="8" w:color="CFF2FF"/>
            </w:tcBorders>
            <w:shd w:val="clear" w:color="auto" w:fill="CFF2FF"/>
          </w:tcPr>
          <w:p>
            <w:pPr>
              <w:spacing w:after="0"/>
              <w:rPr>
                <w:sz w:val="20"/>
                <w:szCs w:val="20"/>
                <w:color w:val="auto"/>
              </w:rPr>
            </w:pPr>
            <w:r>
              <w:rPr>
                <w:rFonts w:ascii="Arial" w:cs="Arial" w:eastAsia="Arial" w:hAnsi="Arial"/>
                <w:sz w:val="18"/>
                <w:szCs w:val="18"/>
                <w:color w:val="auto"/>
              </w:rPr>
              <w:t>Net cash provided by financing activities</w:t>
            </w:r>
          </w:p>
        </w:tc>
        <w:tc>
          <w:tcPr>
            <w:tcW w:w="260" w:type="dxa"/>
            <w:vAlign w:val="bottom"/>
            <w:tcBorders>
              <w:top w:val="single" w:sz="8" w:color="auto"/>
              <w:bottom w:val="single" w:sz="8" w:color="auto"/>
            </w:tcBorders>
            <w:shd w:val="clear" w:color="auto" w:fill="CFF2FF"/>
          </w:tcPr>
          <w:p>
            <w:pPr>
              <w:spacing w:after="0"/>
              <w:rPr>
                <w:sz w:val="19"/>
                <w:szCs w:val="19"/>
                <w:color w:val="auto"/>
              </w:rPr>
            </w:pPr>
          </w:p>
        </w:tc>
        <w:tc>
          <w:tcPr>
            <w:tcW w:w="1140" w:type="dxa"/>
            <w:vAlign w:val="bottom"/>
            <w:tcBorders>
              <w:top w:val="single" w:sz="8" w:color="auto"/>
              <w:bottom w:val="single" w:sz="8" w:color="auto"/>
            </w:tcBorders>
            <w:shd w:val="clear" w:color="auto" w:fill="CFF2FF"/>
          </w:tcPr>
          <w:p>
            <w:pPr>
              <w:jc w:val="right"/>
              <w:spacing w:after="0"/>
              <w:rPr>
                <w:sz w:val="20"/>
                <w:szCs w:val="20"/>
                <w:color w:val="auto"/>
              </w:rPr>
            </w:pPr>
            <w:r>
              <w:rPr>
                <w:rFonts w:ascii="Arial" w:cs="Arial" w:eastAsia="Arial" w:hAnsi="Arial"/>
                <w:sz w:val="18"/>
                <w:szCs w:val="18"/>
                <w:color w:val="auto"/>
              </w:rPr>
              <w:t>33,606</w:t>
            </w:r>
          </w:p>
        </w:tc>
        <w:tc>
          <w:tcPr>
            <w:tcW w:w="160" w:type="dxa"/>
            <w:vAlign w:val="bottom"/>
            <w:tcBorders>
              <w:top w:val="single" w:sz="8" w:color="CFF2FF"/>
            </w:tcBorders>
            <w:shd w:val="clear" w:color="auto" w:fill="CFF2FF"/>
          </w:tcPr>
          <w:p>
            <w:pPr>
              <w:spacing w:after="0"/>
              <w:rPr>
                <w:sz w:val="19"/>
                <w:szCs w:val="19"/>
                <w:color w:val="auto"/>
              </w:rPr>
            </w:pPr>
          </w:p>
        </w:tc>
        <w:tc>
          <w:tcPr>
            <w:tcW w:w="100" w:type="dxa"/>
            <w:vAlign w:val="bottom"/>
            <w:tcBorders>
              <w:top w:val="single" w:sz="8" w:color="CFF2FF"/>
            </w:tcBorders>
            <w:shd w:val="clear" w:color="auto" w:fill="CFF2FF"/>
          </w:tcPr>
          <w:p>
            <w:pPr>
              <w:spacing w:after="0"/>
              <w:rPr>
                <w:sz w:val="19"/>
                <w:szCs w:val="19"/>
                <w:color w:val="auto"/>
              </w:rPr>
            </w:pPr>
          </w:p>
        </w:tc>
        <w:tc>
          <w:tcPr>
            <w:tcW w:w="320" w:type="dxa"/>
            <w:vAlign w:val="bottom"/>
            <w:tcBorders>
              <w:top w:val="single" w:sz="8" w:color="auto"/>
              <w:bottom w:val="single" w:sz="8" w:color="auto"/>
            </w:tcBorders>
            <w:shd w:val="clear" w:color="auto" w:fill="CFF2FF"/>
          </w:tcPr>
          <w:p>
            <w:pPr>
              <w:spacing w:after="0"/>
              <w:rPr>
                <w:sz w:val="19"/>
                <w:szCs w:val="19"/>
                <w:color w:val="auto"/>
              </w:rPr>
            </w:pPr>
          </w:p>
        </w:tc>
        <w:tc>
          <w:tcPr>
            <w:tcW w:w="1080" w:type="dxa"/>
            <w:vAlign w:val="bottom"/>
            <w:tcBorders>
              <w:top w:val="single" w:sz="8" w:color="auto"/>
              <w:bottom w:val="single" w:sz="8" w:color="auto"/>
            </w:tcBorders>
            <w:shd w:val="clear" w:color="auto" w:fill="CFF2FF"/>
          </w:tcPr>
          <w:p>
            <w:pPr>
              <w:jc w:val="right"/>
              <w:spacing w:after="0"/>
              <w:rPr>
                <w:sz w:val="20"/>
                <w:szCs w:val="20"/>
                <w:color w:val="auto"/>
              </w:rPr>
            </w:pPr>
            <w:r>
              <w:rPr>
                <w:rFonts w:ascii="Arial" w:cs="Arial" w:eastAsia="Arial" w:hAnsi="Arial"/>
                <w:sz w:val="18"/>
                <w:szCs w:val="18"/>
                <w:color w:val="auto"/>
              </w:rPr>
              <w:t>34,787</w:t>
            </w:r>
          </w:p>
        </w:tc>
        <w:tc>
          <w:tcPr>
            <w:tcW w:w="100" w:type="dxa"/>
            <w:vAlign w:val="bottom"/>
            <w:tcBorders>
              <w:top w:val="single" w:sz="8" w:color="CFF2FF"/>
            </w:tcBorders>
            <w:shd w:val="clear" w:color="auto" w:fill="CFF2FF"/>
          </w:tcPr>
          <w:p>
            <w:pPr>
              <w:spacing w:after="0"/>
              <w:rPr>
                <w:sz w:val="19"/>
                <w:szCs w:val="19"/>
                <w:color w:val="auto"/>
              </w:rPr>
            </w:pPr>
          </w:p>
        </w:tc>
      </w:tr>
      <w:tr>
        <w:trPr>
          <w:trHeight w:val="223"/>
        </w:trPr>
        <w:tc>
          <w:tcPr>
            <w:tcW w:w="6940" w:type="dxa"/>
            <w:vAlign w:val="bottom"/>
            <w:tcBorders>
              <w:bottom w:val="single" w:sz="8" w:color="CFF2FF"/>
            </w:tcBorders>
          </w:tcPr>
          <w:p>
            <w:pPr>
              <w:spacing w:after="0"/>
              <w:rPr>
                <w:sz w:val="20"/>
                <w:szCs w:val="20"/>
                <w:color w:val="auto"/>
              </w:rPr>
            </w:pPr>
            <w:r>
              <w:rPr>
                <w:rFonts w:ascii="Arial" w:cs="Arial" w:eastAsia="Arial" w:hAnsi="Arial"/>
                <w:sz w:val="18"/>
                <w:szCs w:val="18"/>
                <w:color w:val="auto"/>
              </w:rPr>
              <w:t>Net increase in cash and cash equivalents</w:t>
            </w:r>
          </w:p>
        </w:tc>
        <w:tc>
          <w:tcPr>
            <w:tcW w:w="26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14,020</w:t>
            </w:r>
          </w:p>
        </w:tc>
        <w:tc>
          <w:tcPr>
            <w:tcW w:w="160" w:type="dxa"/>
            <w:vAlign w:val="bottom"/>
            <w:tcBorders>
              <w:bottom w:val="single" w:sz="8" w:color="CFF2FF"/>
            </w:tcBorders>
          </w:tcPr>
          <w:p>
            <w:pPr>
              <w:spacing w:after="0"/>
              <w:rPr>
                <w:sz w:val="19"/>
                <w:szCs w:val="19"/>
                <w:color w:val="auto"/>
              </w:rPr>
            </w:pPr>
          </w:p>
        </w:tc>
        <w:tc>
          <w:tcPr>
            <w:tcW w:w="100" w:type="dxa"/>
            <w:vAlign w:val="bottom"/>
            <w:tcBorders>
              <w:bottom w:val="single" w:sz="8" w:color="CFF2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39,691</w:t>
            </w:r>
          </w:p>
        </w:tc>
        <w:tc>
          <w:tcPr>
            <w:tcW w:w="100" w:type="dxa"/>
            <w:vAlign w:val="bottom"/>
            <w:tcBorders>
              <w:bottom w:val="single" w:sz="8" w:color="CFF2FF"/>
            </w:tcBorders>
          </w:tcPr>
          <w:p>
            <w:pPr>
              <w:spacing w:after="0"/>
              <w:rPr>
                <w:sz w:val="19"/>
                <w:szCs w:val="19"/>
                <w:color w:val="auto"/>
              </w:rPr>
            </w:pPr>
          </w:p>
        </w:tc>
      </w:tr>
      <w:tr>
        <w:trPr>
          <w:trHeight w:val="223"/>
        </w:trPr>
        <w:tc>
          <w:tcPr>
            <w:tcW w:w="6940" w:type="dxa"/>
            <w:vAlign w:val="bottom"/>
            <w:shd w:val="clear" w:color="auto" w:fill="CFF2FF"/>
          </w:tcPr>
          <w:p>
            <w:pPr>
              <w:spacing w:after="0"/>
              <w:rPr>
                <w:sz w:val="20"/>
                <w:szCs w:val="20"/>
                <w:color w:val="auto"/>
              </w:rPr>
            </w:pPr>
            <w:r>
              <w:rPr>
                <w:rFonts w:ascii="Arial" w:cs="Arial" w:eastAsia="Arial" w:hAnsi="Arial"/>
                <w:sz w:val="18"/>
                <w:szCs w:val="18"/>
                <w:color w:val="auto"/>
              </w:rPr>
              <w:t>Cash and cash equivalents at the beginning of the period</w:t>
            </w:r>
          </w:p>
        </w:tc>
        <w:tc>
          <w:tcPr>
            <w:tcW w:w="260" w:type="dxa"/>
            <w:vAlign w:val="bottom"/>
            <w:tcBorders>
              <w:bottom w:val="single" w:sz="8" w:color="auto"/>
            </w:tcBorders>
            <w:shd w:val="clear" w:color="auto" w:fill="CFF2FF"/>
          </w:tcPr>
          <w:p>
            <w:pPr>
              <w:spacing w:after="0"/>
              <w:rPr>
                <w:sz w:val="19"/>
                <w:szCs w:val="19"/>
                <w:color w:val="auto"/>
              </w:rPr>
            </w:pPr>
          </w:p>
        </w:tc>
        <w:tc>
          <w:tcPr>
            <w:tcW w:w="1140" w:type="dxa"/>
            <w:vAlign w:val="bottom"/>
            <w:tcBorders>
              <w:bottom w:val="single" w:sz="8" w:color="auto"/>
            </w:tcBorders>
            <w:shd w:val="clear" w:color="auto" w:fill="CFF2FF"/>
          </w:tcPr>
          <w:p>
            <w:pPr>
              <w:jc w:val="right"/>
              <w:spacing w:after="0"/>
              <w:rPr>
                <w:sz w:val="20"/>
                <w:szCs w:val="20"/>
                <w:color w:val="auto"/>
              </w:rPr>
            </w:pPr>
            <w:r>
              <w:rPr>
                <w:rFonts w:ascii="Arial" w:cs="Arial" w:eastAsia="Arial" w:hAnsi="Arial"/>
                <w:sz w:val="18"/>
                <w:szCs w:val="18"/>
                <w:color w:val="auto"/>
              </w:rPr>
              <w:t>10,686</w:t>
            </w:r>
          </w:p>
        </w:tc>
        <w:tc>
          <w:tcPr>
            <w:tcW w:w="160" w:type="dxa"/>
            <w:vAlign w:val="bottom"/>
            <w:shd w:val="clear" w:color="auto" w:fill="CFF2FF"/>
          </w:tcPr>
          <w:p>
            <w:pPr>
              <w:spacing w:after="0"/>
              <w:rPr>
                <w:sz w:val="19"/>
                <w:szCs w:val="19"/>
                <w:color w:val="auto"/>
              </w:rPr>
            </w:pPr>
          </w:p>
        </w:tc>
        <w:tc>
          <w:tcPr>
            <w:tcW w:w="100" w:type="dxa"/>
            <w:vAlign w:val="bottom"/>
            <w:shd w:val="clear" w:color="auto" w:fill="CFF2FF"/>
          </w:tcPr>
          <w:p>
            <w:pPr>
              <w:spacing w:after="0"/>
              <w:rPr>
                <w:sz w:val="19"/>
                <w:szCs w:val="19"/>
                <w:color w:val="auto"/>
              </w:rPr>
            </w:pPr>
          </w:p>
        </w:tc>
        <w:tc>
          <w:tcPr>
            <w:tcW w:w="320" w:type="dxa"/>
            <w:vAlign w:val="bottom"/>
            <w:tcBorders>
              <w:bottom w:val="single" w:sz="8" w:color="auto"/>
            </w:tcBorders>
            <w:shd w:val="clear" w:color="auto" w:fill="CFF2FF"/>
          </w:tcPr>
          <w:p>
            <w:pPr>
              <w:spacing w:after="0"/>
              <w:rPr>
                <w:sz w:val="19"/>
                <w:szCs w:val="19"/>
                <w:color w:val="auto"/>
              </w:rPr>
            </w:pPr>
          </w:p>
        </w:tc>
        <w:tc>
          <w:tcPr>
            <w:tcW w:w="1080" w:type="dxa"/>
            <w:vAlign w:val="bottom"/>
            <w:tcBorders>
              <w:bottom w:val="single" w:sz="8" w:color="auto"/>
            </w:tcBorders>
            <w:shd w:val="clear" w:color="auto" w:fill="CFF2FF"/>
          </w:tcPr>
          <w:p>
            <w:pPr>
              <w:jc w:val="right"/>
              <w:spacing w:after="0"/>
              <w:rPr>
                <w:sz w:val="20"/>
                <w:szCs w:val="20"/>
                <w:color w:val="auto"/>
              </w:rPr>
            </w:pPr>
            <w:r>
              <w:rPr>
                <w:rFonts w:ascii="Arial" w:cs="Arial" w:eastAsia="Arial" w:hAnsi="Arial"/>
                <w:sz w:val="18"/>
                <w:szCs w:val="18"/>
                <w:color w:val="auto"/>
              </w:rPr>
              <w:t>9,241</w:t>
            </w:r>
          </w:p>
        </w:tc>
        <w:tc>
          <w:tcPr>
            <w:tcW w:w="100" w:type="dxa"/>
            <w:vAlign w:val="bottom"/>
            <w:shd w:val="clear" w:color="auto" w:fill="CFF2FF"/>
          </w:tcPr>
          <w:p>
            <w:pPr>
              <w:spacing w:after="0"/>
              <w:rPr>
                <w:sz w:val="19"/>
                <w:szCs w:val="19"/>
                <w:color w:val="auto"/>
              </w:rPr>
            </w:pPr>
          </w:p>
        </w:tc>
      </w:tr>
      <w:tr>
        <w:trPr>
          <w:trHeight w:val="263"/>
        </w:trPr>
        <w:tc>
          <w:tcPr>
            <w:tcW w:w="6940" w:type="dxa"/>
            <w:vAlign w:val="bottom"/>
            <w:tcBorders>
              <w:bottom w:val="single" w:sz="8" w:color="CFF2FF"/>
            </w:tcBorders>
          </w:tcPr>
          <w:p>
            <w:pPr>
              <w:spacing w:after="0"/>
              <w:rPr>
                <w:sz w:val="20"/>
                <w:szCs w:val="20"/>
                <w:color w:val="auto"/>
              </w:rPr>
            </w:pPr>
            <w:r>
              <w:rPr>
                <w:rFonts w:ascii="Arial" w:cs="Arial" w:eastAsia="Arial" w:hAnsi="Arial"/>
                <w:sz w:val="18"/>
                <w:szCs w:val="18"/>
                <w:color w:val="auto"/>
              </w:rPr>
              <w:t>Cash and cash equivalents at the end of the period</w:t>
            </w:r>
          </w:p>
        </w:tc>
        <w:tc>
          <w:tcPr>
            <w:tcW w:w="260" w:type="dxa"/>
            <w:vAlign w:val="bottom"/>
            <w:tcBorders>
              <w:bottom w:val="single" w:sz="8" w:color="auto"/>
            </w:tcBorders>
          </w:tcPr>
          <w:p>
            <w:pPr>
              <w:jc w:val="right"/>
              <w:ind w:right="107"/>
              <w:spacing w:after="0"/>
              <w:rPr>
                <w:sz w:val="20"/>
                <w:szCs w:val="20"/>
                <w:color w:val="auto"/>
              </w:rPr>
            </w:pPr>
            <w:r>
              <w:rPr>
                <w:rFonts w:ascii="Arial" w:cs="Arial" w:eastAsia="Arial" w:hAnsi="Arial"/>
                <w:sz w:val="15"/>
                <w:szCs w:val="15"/>
                <w:b w:val="1"/>
                <w:bCs w:val="1"/>
                <w:color w:val="auto"/>
                <w:w w:val="71"/>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24,706</w:t>
            </w:r>
          </w:p>
        </w:tc>
        <w:tc>
          <w:tcPr>
            <w:tcW w:w="160" w:type="dxa"/>
            <w:vAlign w:val="bottom"/>
            <w:tcBorders>
              <w:bottom w:val="single" w:sz="8" w:color="CFF2FF"/>
            </w:tcBorders>
          </w:tcPr>
          <w:p>
            <w:pPr>
              <w:spacing w:after="0"/>
              <w:rPr>
                <w:sz w:val="22"/>
                <w:szCs w:val="22"/>
                <w:color w:val="auto"/>
              </w:rPr>
            </w:pPr>
          </w:p>
        </w:tc>
        <w:tc>
          <w:tcPr>
            <w:tcW w:w="100" w:type="dxa"/>
            <w:vAlign w:val="bottom"/>
            <w:tcBorders>
              <w:bottom w:val="single" w:sz="8" w:color="CFF2FF"/>
            </w:tcBorders>
          </w:tcPr>
          <w:p>
            <w:pPr>
              <w:spacing w:after="0"/>
              <w:rPr>
                <w:sz w:val="22"/>
                <w:szCs w:val="22"/>
                <w:color w:val="auto"/>
              </w:rPr>
            </w:pPr>
          </w:p>
        </w:tc>
        <w:tc>
          <w:tcPr>
            <w:tcW w:w="320" w:type="dxa"/>
            <w:vAlign w:val="bottom"/>
            <w:tcBorders>
              <w:bottom w:val="single" w:sz="8" w:color="auto"/>
            </w:tcBorders>
          </w:tcPr>
          <w:p>
            <w:pPr>
              <w:jc w:val="right"/>
              <w:ind w:right="167"/>
              <w:spacing w:after="0"/>
              <w:rPr>
                <w:sz w:val="20"/>
                <w:szCs w:val="20"/>
                <w:color w:val="auto"/>
              </w:rPr>
            </w:pPr>
            <w:r>
              <w:rPr>
                <w:rFonts w:ascii="Arial" w:cs="Arial" w:eastAsia="Arial" w:hAnsi="Arial"/>
                <w:sz w:val="15"/>
                <w:szCs w:val="15"/>
                <w:b w:val="1"/>
                <w:bCs w:val="1"/>
                <w:color w:val="auto"/>
                <w:w w:val="71"/>
              </w:rPr>
              <w:t>$</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48,932</w:t>
            </w:r>
          </w:p>
        </w:tc>
        <w:tc>
          <w:tcPr>
            <w:tcW w:w="100" w:type="dxa"/>
            <w:vAlign w:val="bottom"/>
            <w:tcBorders>
              <w:bottom w:val="single" w:sz="8" w:color="CFF2FF"/>
            </w:tcBorders>
          </w:tcPr>
          <w:p>
            <w:pPr>
              <w:spacing w:after="0"/>
              <w:rPr>
                <w:sz w:val="22"/>
                <w:szCs w:val="22"/>
                <w:color w:val="auto"/>
              </w:rPr>
            </w:pPr>
          </w:p>
        </w:tc>
      </w:tr>
      <w:tr>
        <w:trPr>
          <w:trHeight w:val="210"/>
        </w:trPr>
        <w:tc>
          <w:tcPr>
            <w:tcW w:w="6940" w:type="dxa"/>
            <w:vAlign w:val="bottom"/>
            <w:shd w:val="clear" w:color="auto" w:fill="CFF2FF"/>
          </w:tcPr>
          <w:p>
            <w:pPr>
              <w:spacing w:after="0"/>
              <w:rPr>
                <w:sz w:val="18"/>
                <w:szCs w:val="18"/>
                <w:color w:val="auto"/>
              </w:rPr>
            </w:pPr>
          </w:p>
        </w:tc>
        <w:tc>
          <w:tcPr>
            <w:tcW w:w="260" w:type="dxa"/>
            <w:vAlign w:val="bottom"/>
            <w:shd w:val="clear" w:color="auto" w:fill="CFF2FF"/>
          </w:tcPr>
          <w:p>
            <w:pPr>
              <w:spacing w:after="0"/>
              <w:rPr>
                <w:sz w:val="18"/>
                <w:szCs w:val="18"/>
                <w:color w:val="auto"/>
              </w:rPr>
            </w:pPr>
          </w:p>
        </w:tc>
        <w:tc>
          <w:tcPr>
            <w:tcW w:w="1140" w:type="dxa"/>
            <w:vAlign w:val="bottom"/>
            <w:shd w:val="clear" w:color="auto" w:fill="CFF2FF"/>
          </w:tcPr>
          <w:p>
            <w:pPr>
              <w:spacing w:after="0"/>
              <w:rPr>
                <w:sz w:val="18"/>
                <w:szCs w:val="18"/>
                <w:color w:val="auto"/>
              </w:rPr>
            </w:pPr>
          </w:p>
        </w:tc>
        <w:tc>
          <w:tcPr>
            <w:tcW w:w="160" w:type="dxa"/>
            <w:vAlign w:val="bottom"/>
            <w:shd w:val="clear" w:color="auto" w:fill="CFF2FF"/>
          </w:tcPr>
          <w:p>
            <w:pPr>
              <w:spacing w:after="0"/>
              <w:rPr>
                <w:sz w:val="18"/>
                <w:szCs w:val="18"/>
                <w:color w:val="auto"/>
              </w:rPr>
            </w:pPr>
          </w:p>
        </w:tc>
        <w:tc>
          <w:tcPr>
            <w:tcW w:w="100" w:type="dxa"/>
            <w:vAlign w:val="bottom"/>
            <w:shd w:val="clear" w:color="auto" w:fill="CFF2FF"/>
          </w:tcPr>
          <w:p>
            <w:pPr>
              <w:spacing w:after="0"/>
              <w:rPr>
                <w:sz w:val="18"/>
                <w:szCs w:val="18"/>
                <w:color w:val="auto"/>
              </w:rPr>
            </w:pPr>
          </w:p>
        </w:tc>
        <w:tc>
          <w:tcPr>
            <w:tcW w:w="320" w:type="dxa"/>
            <w:vAlign w:val="bottom"/>
            <w:shd w:val="clear" w:color="auto" w:fill="CFF2FF"/>
          </w:tcPr>
          <w:p>
            <w:pPr>
              <w:spacing w:after="0"/>
              <w:rPr>
                <w:sz w:val="18"/>
                <w:szCs w:val="18"/>
                <w:color w:val="auto"/>
              </w:rPr>
            </w:pPr>
          </w:p>
        </w:tc>
        <w:tc>
          <w:tcPr>
            <w:tcW w:w="1080" w:type="dxa"/>
            <w:vAlign w:val="bottom"/>
            <w:shd w:val="clear" w:color="auto" w:fill="CFF2FF"/>
          </w:tcPr>
          <w:p>
            <w:pPr>
              <w:spacing w:after="0"/>
              <w:rPr>
                <w:sz w:val="18"/>
                <w:szCs w:val="18"/>
                <w:color w:val="auto"/>
              </w:rPr>
            </w:pPr>
          </w:p>
        </w:tc>
        <w:tc>
          <w:tcPr>
            <w:tcW w:w="100" w:type="dxa"/>
            <w:vAlign w:val="bottom"/>
            <w:shd w:val="clear" w:color="auto" w:fill="CFF2FF"/>
          </w:tcPr>
          <w:p>
            <w:pPr>
              <w:spacing w:after="0"/>
              <w:rPr>
                <w:sz w:val="18"/>
                <w:szCs w:val="18"/>
                <w:color w:val="auto"/>
              </w:rPr>
            </w:pPr>
          </w:p>
        </w:tc>
      </w:tr>
      <w:tr>
        <w:trPr>
          <w:trHeight w:val="230"/>
        </w:trPr>
        <w:tc>
          <w:tcPr>
            <w:tcW w:w="6940" w:type="dxa"/>
            <w:vAlign w:val="bottom"/>
          </w:tcPr>
          <w:p>
            <w:pPr>
              <w:spacing w:after="0"/>
              <w:rPr>
                <w:sz w:val="20"/>
                <w:szCs w:val="20"/>
                <w:color w:val="auto"/>
              </w:rPr>
            </w:pPr>
            <w:r>
              <w:rPr>
                <w:rFonts w:ascii="Arial" w:cs="Arial" w:eastAsia="Arial" w:hAnsi="Arial"/>
                <w:sz w:val="18"/>
                <w:szCs w:val="18"/>
                <w:b w:val="1"/>
                <w:bCs w:val="1"/>
                <w:color w:val="auto"/>
              </w:rPr>
              <w:t>Supplemental disclosure of noncash investing and financing activities:</w:t>
            </w:r>
          </w:p>
        </w:tc>
        <w:tc>
          <w:tcPr>
            <w:tcW w:w="2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29"/>
        </w:trPr>
        <w:tc>
          <w:tcPr>
            <w:tcW w:w="6940" w:type="dxa"/>
            <w:vAlign w:val="bottom"/>
            <w:shd w:val="clear" w:color="auto" w:fill="CFF2FF"/>
          </w:tcPr>
          <w:p>
            <w:pPr>
              <w:ind w:left="240"/>
              <w:spacing w:after="0"/>
              <w:rPr>
                <w:sz w:val="20"/>
                <w:szCs w:val="20"/>
                <w:color w:val="auto"/>
              </w:rPr>
            </w:pPr>
            <w:r>
              <w:rPr>
                <w:rFonts w:ascii="Arial" w:cs="Arial" w:eastAsia="Arial" w:hAnsi="Arial"/>
                <w:sz w:val="18"/>
                <w:szCs w:val="18"/>
                <w:color w:val="auto"/>
              </w:rPr>
              <w:t>Property and equipment purchases payable or accrued at period end</w:t>
            </w:r>
          </w:p>
        </w:tc>
        <w:tc>
          <w:tcPr>
            <w:tcW w:w="260" w:type="dxa"/>
            <w:vAlign w:val="bottom"/>
            <w:shd w:val="clear" w:color="auto" w:fill="CFF2FF"/>
          </w:tcPr>
          <w:p>
            <w:pPr>
              <w:jc w:val="right"/>
              <w:ind w:right="107"/>
              <w:spacing w:after="0"/>
              <w:rPr>
                <w:sz w:val="20"/>
                <w:szCs w:val="20"/>
                <w:color w:val="auto"/>
              </w:rPr>
            </w:pPr>
            <w:r>
              <w:rPr>
                <w:rFonts w:ascii="Arial" w:cs="Arial" w:eastAsia="Arial" w:hAnsi="Arial"/>
                <w:sz w:val="15"/>
                <w:szCs w:val="15"/>
                <w:color w:val="auto"/>
                <w:w w:val="71"/>
              </w:rPr>
              <w:t>$</w:t>
            </w:r>
          </w:p>
        </w:tc>
        <w:tc>
          <w:tcPr>
            <w:tcW w:w="1140" w:type="dxa"/>
            <w:vAlign w:val="bottom"/>
            <w:shd w:val="clear" w:color="auto" w:fill="CFF2FF"/>
          </w:tcPr>
          <w:p>
            <w:pPr>
              <w:jc w:val="right"/>
              <w:spacing w:after="0"/>
              <w:rPr>
                <w:sz w:val="20"/>
                <w:szCs w:val="20"/>
                <w:color w:val="auto"/>
              </w:rPr>
            </w:pPr>
            <w:r>
              <w:rPr>
                <w:rFonts w:ascii="Arial" w:cs="Arial" w:eastAsia="Arial" w:hAnsi="Arial"/>
                <w:sz w:val="18"/>
                <w:szCs w:val="18"/>
                <w:color w:val="auto"/>
              </w:rPr>
              <w:t>239</w:t>
            </w:r>
          </w:p>
        </w:tc>
        <w:tc>
          <w:tcPr>
            <w:tcW w:w="160" w:type="dxa"/>
            <w:vAlign w:val="bottom"/>
            <w:shd w:val="clear" w:color="auto" w:fill="CFF2FF"/>
          </w:tcPr>
          <w:p>
            <w:pPr>
              <w:spacing w:after="0"/>
              <w:rPr>
                <w:sz w:val="19"/>
                <w:szCs w:val="19"/>
                <w:color w:val="auto"/>
              </w:rPr>
            </w:pPr>
          </w:p>
        </w:tc>
        <w:tc>
          <w:tcPr>
            <w:tcW w:w="420" w:type="dxa"/>
            <w:vAlign w:val="bottom"/>
            <w:gridSpan w:val="2"/>
            <w:shd w:val="clear" w:color="auto" w:fill="CFF2FF"/>
          </w:tcPr>
          <w:p>
            <w:pPr>
              <w:jc w:val="right"/>
              <w:ind w:right="167"/>
              <w:spacing w:after="0"/>
              <w:rPr>
                <w:sz w:val="20"/>
                <w:szCs w:val="20"/>
                <w:color w:val="auto"/>
              </w:rPr>
            </w:pPr>
            <w:r>
              <w:rPr>
                <w:rFonts w:ascii="Arial" w:cs="Arial" w:eastAsia="Arial" w:hAnsi="Arial"/>
                <w:sz w:val="18"/>
                <w:szCs w:val="18"/>
                <w:color w:val="auto"/>
              </w:rPr>
              <w:t>$</w:t>
            </w:r>
          </w:p>
        </w:tc>
        <w:tc>
          <w:tcPr>
            <w:tcW w:w="1080" w:type="dxa"/>
            <w:vAlign w:val="bottom"/>
            <w:shd w:val="clear" w:color="auto" w:fill="CFF2FF"/>
          </w:tcPr>
          <w:p>
            <w:pPr>
              <w:jc w:val="right"/>
              <w:spacing w:after="0"/>
              <w:rPr>
                <w:sz w:val="20"/>
                <w:szCs w:val="20"/>
                <w:color w:val="auto"/>
              </w:rPr>
            </w:pPr>
            <w:r>
              <w:rPr>
                <w:rFonts w:ascii="Arial" w:cs="Arial" w:eastAsia="Arial" w:hAnsi="Arial"/>
                <w:sz w:val="18"/>
                <w:szCs w:val="18"/>
                <w:color w:val="auto"/>
              </w:rPr>
              <w:t>429</w:t>
            </w:r>
          </w:p>
        </w:tc>
        <w:tc>
          <w:tcPr>
            <w:tcW w:w="100" w:type="dxa"/>
            <w:vAlign w:val="bottom"/>
            <w:shd w:val="clear" w:color="auto" w:fill="CFF2FF"/>
          </w:tcPr>
          <w:p>
            <w:pPr>
              <w:spacing w:after="0"/>
              <w:rPr>
                <w:sz w:val="19"/>
                <w:szCs w:val="19"/>
                <w:color w:val="auto"/>
              </w:rPr>
            </w:pPr>
          </w:p>
        </w:tc>
      </w:tr>
      <w:tr>
        <w:trPr>
          <w:trHeight w:val="230"/>
        </w:trPr>
        <w:tc>
          <w:tcPr>
            <w:tcW w:w="6940" w:type="dxa"/>
            <w:vAlign w:val="bottom"/>
          </w:tcPr>
          <w:p>
            <w:pPr>
              <w:ind w:left="240"/>
              <w:spacing w:after="0"/>
              <w:rPr>
                <w:sz w:val="20"/>
                <w:szCs w:val="20"/>
                <w:color w:val="auto"/>
              </w:rPr>
            </w:pPr>
            <w:r>
              <w:rPr>
                <w:rFonts w:ascii="Arial" w:cs="Arial" w:eastAsia="Arial" w:hAnsi="Arial"/>
                <w:sz w:val="18"/>
                <w:szCs w:val="18"/>
                <w:color w:val="auto"/>
              </w:rPr>
              <w:t>Debt issuance costs accrued at period end</w:t>
            </w:r>
          </w:p>
        </w:tc>
        <w:tc>
          <w:tcPr>
            <w:tcW w:w="260" w:type="dxa"/>
            <w:vAlign w:val="bottom"/>
          </w:tcPr>
          <w:p>
            <w:pPr>
              <w:jc w:val="right"/>
              <w:ind w:right="107"/>
              <w:spacing w:after="0"/>
              <w:rPr>
                <w:sz w:val="20"/>
                <w:szCs w:val="20"/>
                <w:color w:val="auto"/>
              </w:rPr>
            </w:pPr>
            <w:r>
              <w:rPr>
                <w:rFonts w:ascii="Arial" w:cs="Arial" w:eastAsia="Arial" w:hAnsi="Arial"/>
                <w:sz w:val="15"/>
                <w:szCs w:val="15"/>
                <w:color w:val="auto"/>
                <w:w w:val="71"/>
              </w:rPr>
              <w:t>$</w:t>
            </w:r>
          </w:p>
        </w:tc>
        <w:tc>
          <w:tcPr>
            <w:tcW w:w="13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420" w:type="dxa"/>
            <w:vAlign w:val="bottom"/>
            <w:gridSpan w:val="2"/>
          </w:tcPr>
          <w:p>
            <w:pPr>
              <w:jc w:val="right"/>
              <w:ind w:right="167"/>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19"/>
                <w:szCs w:val="19"/>
                <w:color w:val="auto"/>
              </w:rPr>
            </w:pPr>
          </w:p>
        </w:tc>
      </w:tr>
      <w:tr>
        <w:trPr>
          <w:trHeight w:val="230"/>
        </w:trPr>
        <w:tc>
          <w:tcPr>
            <w:tcW w:w="6940" w:type="dxa"/>
            <w:vAlign w:val="bottom"/>
            <w:shd w:val="clear" w:color="auto" w:fill="CFF2FF"/>
          </w:tcPr>
          <w:p>
            <w:pPr>
              <w:ind w:left="240"/>
              <w:spacing w:after="0"/>
              <w:rPr>
                <w:sz w:val="20"/>
                <w:szCs w:val="20"/>
                <w:color w:val="auto"/>
              </w:rPr>
            </w:pPr>
            <w:r>
              <w:rPr>
                <w:rFonts w:ascii="Arial" w:cs="Arial" w:eastAsia="Arial" w:hAnsi="Arial"/>
                <w:sz w:val="18"/>
                <w:szCs w:val="18"/>
                <w:color w:val="auto"/>
              </w:rPr>
              <w:t>Change in unrealized gain on marketable securities</w:t>
            </w:r>
          </w:p>
        </w:tc>
        <w:tc>
          <w:tcPr>
            <w:tcW w:w="260" w:type="dxa"/>
            <w:vAlign w:val="bottom"/>
            <w:shd w:val="clear" w:color="auto" w:fill="CFF2FF"/>
          </w:tcPr>
          <w:p>
            <w:pPr>
              <w:jc w:val="right"/>
              <w:ind w:right="107"/>
              <w:spacing w:after="0"/>
              <w:rPr>
                <w:sz w:val="20"/>
                <w:szCs w:val="20"/>
                <w:color w:val="auto"/>
              </w:rPr>
            </w:pPr>
            <w:r>
              <w:rPr>
                <w:rFonts w:ascii="Arial" w:cs="Arial" w:eastAsia="Arial" w:hAnsi="Arial"/>
                <w:sz w:val="15"/>
                <w:szCs w:val="15"/>
                <w:color w:val="auto"/>
                <w:w w:val="71"/>
              </w:rPr>
              <w:t>$</w:t>
            </w:r>
          </w:p>
        </w:tc>
        <w:tc>
          <w:tcPr>
            <w:tcW w:w="1300" w:type="dxa"/>
            <w:vAlign w:val="bottom"/>
            <w:gridSpan w:val="2"/>
            <w:shd w:val="clear" w:color="auto" w:fill="CFF2FF"/>
          </w:tcPr>
          <w:p>
            <w:pPr>
              <w:jc w:val="right"/>
              <w:ind w:right="100"/>
              <w:spacing w:after="0"/>
              <w:rPr>
                <w:sz w:val="20"/>
                <w:szCs w:val="20"/>
                <w:color w:val="auto"/>
              </w:rPr>
            </w:pPr>
            <w:r>
              <w:rPr>
                <w:rFonts w:ascii="Arial" w:cs="Arial" w:eastAsia="Arial" w:hAnsi="Arial"/>
                <w:sz w:val="18"/>
                <w:szCs w:val="18"/>
                <w:color w:val="auto"/>
              </w:rPr>
              <w:t>(2)</w:t>
            </w:r>
          </w:p>
        </w:tc>
        <w:tc>
          <w:tcPr>
            <w:tcW w:w="420" w:type="dxa"/>
            <w:vAlign w:val="bottom"/>
            <w:gridSpan w:val="2"/>
            <w:shd w:val="clear" w:color="auto" w:fill="CFF2FF"/>
          </w:tcPr>
          <w:p>
            <w:pPr>
              <w:jc w:val="right"/>
              <w:ind w:right="167"/>
              <w:spacing w:after="0"/>
              <w:rPr>
                <w:sz w:val="20"/>
                <w:szCs w:val="20"/>
                <w:color w:val="auto"/>
              </w:rPr>
            </w:pPr>
            <w:r>
              <w:rPr>
                <w:rFonts w:ascii="Arial" w:cs="Arial" w:eastAsia="Arial" w:hAnsi="Arial"/>
                <w:sz w:val="18"/>
                <w:szCs w:val="18"/>
                <w:color w:val="auto"/>
              </w:rPr>
              <w:t>$</w:t>
            </w:r>
          </w:p>
        </w:tc>
        <w:tc>
          <w:tcPr>
            <w:tcW w:w="1080" w:type="dxa"/>
            <w:vAlign w:val="bottom"/>
            <w:shd w:val="clear" w:color="auto" w:fill="CFF2FF"/>
          </w:tcPr>
          <w:p>
            <w:pPr>
              <w:jc w:val="right"/>
              <w:spacing w:after="0"/>
              <w:rPr>
                <w:sz w:val="20"/>
                <w:szCs w:val="20"/>
                <w:color w:val="auto"/>
              </w:rPr>
            </w:pPr>
            <w:r>
              <w:rPr>
                <w:rFonts w:ascii="Arial" w:cs="Arial" w:eastAsia="Arial" w:hAnsi="Arial"/>
                <w:sz w:val="18"/>
                <w:szCs w:val="18"/>
                <w:color w:val="auto"/>
              </w:rPr>
              <w:t>12</w:t>
            </w:r>
          </w:p>
        </w:tc>
        <w:tc>
          <w:tcPr>
            <w:tcW w:w="100" w:type="dxa"/>
            <w:vAlign w:val="bottom"/>
            <w:shd w:val="clear" w:color="auto" w:fill="CFF2FF"/>
          </w:tcPr>
          <w:p>
            <w:pPr>
              <w:spacing w:after="0"/>
              <w:rPr>
                <w:sz w:val="19"/>
                <w:szCs w:val="19"/>
                <w:color w:val="auto"/>
              </w:rPr>
            </w:pPr>
          </w:p>
        </w:tc>
      </w:tr>
      <w:tr>
        <w:trPr>
          <w:trHeight w:val="215"/>
        </w:trPr>
        <w:tc>
          <w:tcPr>
            <w:tcW w:w="6940" w:type="dxa"/>
            <w:vAlign w:val="bottom"/>
          </w:tcPr>
          <w:p>
            <w:pPr>
              <w:ind w:left="240"/>
              <w:spacing w:after="0"/>
              <w:rPr>
                <w:sz w:val="20"/>
                <w:szCs w:val="20"/>
                <w:color w:val="auto"/>
              </w:rPr>
            </w:pPr>
            <w:r>
              <w:rPr>
                <w:rFonts w:ascii="Arial" w:cs="Arial" w:eastAsia="Arial" w:hAnsi="Arial"/>
                <w:sz w:val="18"/>
                <w:szCs w:val="18"/>
                <w:color w:val="auto"/>
              </w:rPr>
              <w:t>Cash paid for interest</w:t>
            </w:r>
          </w:p>
        </w:tc>
        <w:tc>
          <w:tcPr>
            <w:tcW w:w="260" w:type="dxa"/>
            <w:vAlign w:val="bottom"/>
          </w:tcPr>
          <w:p>
            <w:pPr>
              <w:jc w:val="right"/>
              <w:ind w:right="107"/>
              <w:spacing w:after="0"/>
              <w:rPr>
                <w:sz w:val="20"/>
                <w:szCs w:val="20"/>
                <w:color w:val="auto"/>
              </w:rPr>
            </w:pPr>
            <w:r>
              <w:rPr>
                <w:rFonts w:ascii="Arial" w:cs="Arial" w:eastAsia="Arial" w:hAnsi="Arial"/>
                <w:sz w:val="15"/>
                <w:szCs w:val="15"/>
                <w:color w:val="auto"/>
                <w:w w:val="71"/>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1,376</w:t>
            </w:r>
          </w:p>
        </w:tc>
        <w:tc>
          <w:tcPr>
            <w:tcW w:w="160" w:type="dxa"/>
            <w:vAlign w:val="bottom"/>
          </w:tcPr>
          <w:p>
            <w:pPr>
              <w:spacing w:after="0"/>
              <w:rPr>
                <w:sz w:val="18"/>
                <w:szCs w:val="18"/>
                <w:color w:val="auto"/>
              </w:rPr>
            </w:pPr>
          </w:p>
        </w:tc>
        <w:tc>
          <w:tcPr>
            <w:tcW w:w="420" w:type="dxa"/>
            <w:vAlign w:val="bottom"/>
            <w:gridSpan w:val="2"/>
          </w:tcPr>
          <w:p>
            <w:pPr>
              <w:jc w:val="right"/>
              <w:ind w:right="167"/>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585</w:t>
            </w:r>
          </w:p>
        </w:tc>
        <w:tc>
          <w:tcPr>
            <w:tcW w:w="100" w:type="dxa"/>
            <w:vAlign w:val="bottom"/>
          </w:tcPr>
          <w:p>
            <w:pPr>
              <w:spacing w:after="0"/>
              <w:rPr>
                <w:sz w:val="18"/>
                <w:szCs w:val="18"/>
                <w:color w:val="auto"/>
              </w:rPr>
            </w:pPr>
          </w:p>
        </w:tc>
      </w:tr>
      <w:tr>
        <w:trPr>
          <w:trHeight w:val="230"/>
        </w:trPr>
        <w:tc>
          <w:tcPr>
            <w:tcW w:w="8500" w:type="dxa"/>
            <w:vAlign w:val="bottom"/>
            <w:gridSpan w:val="4"/>
          </w:tcPr>
          <w:p>
            <w:pPr>
              <w:ind w:left="1940"/>
              <w:spacing w:after="0"/>
              <w:rPr>
                <w:sz w:val="20"/>
                <w:szCs w:val="20"/>
                <w:color w:val="auto"/>
              </w:rPr>
            </w:pPr>
            <w:r>
              <w:rPr>
                <w:rFonts w:ascii="Arial" w:cs="Arial" w:eastAsia="Arial" w:hAnsi="Arial"/>
                <w:sz w:val="18"/>
                <w:szCs w:val="18"/>
                <w:i w:val="1"/>
                <w:iCs w:val="1"/>
                <w:color w:val="auto"/>
                <w:w w:val="95"/>
              </w:rPr>
              <w:t>The accompanying notes are an integral part of these condensed financial statements.</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00" w:type="dxa"/>
            <w:vAlign w:val="bottom"/>
          </w:tcPr>
          <w:p>
            <w:pPr>
              <w:spacing w:after="0"/>
              <w:rPr>
                <w:sz w:val="20"/>
                <w:szCs w:val="20"/>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-375285</wp:posOffset>
            </wp:positionH>
            <wp:positionV relativeFrom="paragraph">
              <wp:posOffset>70485</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00"/>
          </w:cols>
          <w:pgMar w:left="900" w:top="337" w:right="899" w:bottom="1440" w:gutter="0" w:footer="0" w:header="0"/>
        </w:sectPr>
      </w:pPr>
    </w:p>
    <w:bookmarkStart w:id="6" w:name="page7"/>
    <w:bookmarkEnd w:id="6"/>
    <w:p>
      <w:pPr>
        <w:jc w:val="center"/>
        <w:ind w:right="-59"/>
        <w:spacing w:after="0"/>
        <w:rPr>
          <w:sz w:val="20"/>
          <w:szCs w:val="20"/>
          <w:color w:val="auto"/>
        </w:rPr>
      </w:pPr>
      <w:r>
        <w:rPr>
          <w:rFonts w:ascii="Arial" w:cs="Arial" w:eastAsia="Arial" w:hAnsi="Arial"/>
          <w:sz w:val="18"/>
          <w:szCs w:val="18"/>
          <w:b w:val="1"/>
          <w:bCs w:val="1"/>
          <w:color w:val="auto"/>
        </w:rPr>
        <w:t>VERRICA PHARMACEUTICALS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Condensed Financial Statements</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1—Nature of Business</w:t>
      </w:r>
    </w:p>
    <w:p>
      <w:pPr>
        <w:spacing w:after="0" w:line="121" w:lineRule="exact"/>
        <w:rPr>
          <w:sz w:val="20"/>
          <w:szCs w:val="20"/>
          <w:color w:val="auto"/>
        </w:rPr>
      </w:pPr>
    </w:p>
    <w:p>
      <w:pPr>
        <w:ind w:right="680" w:firstLine="510"/>
        <w:spacing w:after="0" w:line="277" w:lineRule="auto"/>
        <w:rPr>
          <w:sz w:val="20"/>
          <w:szCs w:val="20"/>
          <w:color w:val="auto"/>
        </w:rPr>
      </w:pPr>
      <w:r>
        <w:rPr>
          <w:rFonts w:ascii="Arial" w:cs="Arial" w:eastAsia="Arial" w:hAnsi="Arial"/>
          <w:sz w:val="18"/>
          <w:szCs w:val="18"/>
          <w:color w:val="auto"/>
        </w:rPr>
        <w:t>Verrica Pharmaceuticals Inc. (the “Company”) was formed on July 3, 2013 and is incorporated in the State of Delaware. The Company is a dermatology therapeutics company developing medications for skin diseases requiring medical interventions.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 and Capital Resources</w:t>
      </w:r>
    </w:p>
    <w:p>
      <w:pPr>
        <w:spacing w:after="0" w:line="117" w:lineRule="exact"/>
        <w:rPr>
          <w:sz w:val="20"/>
          <w:szCs w:val="20"/>
          <w:color w:val="auto"/>
        </w:rPr>
      </w:pPr>
    </w:p>
    <w:p>
      <w:pPr>
        <w:ind w:right="120" w:firstLine="510"/>
        <w:spacing w:after="0" w:line="296" w:lineRule="auto"/>
        <w:rPr>
          <w:sz w:val="20"/>
          <w:szCs w:val="20"/>
          <w:color w:val="auto"/>
        </w:rPr>
      </w:pPr>
      <w:r>
        <w:rPr>
          <w:rFonts w:ascii="Arial" w:cs="Arial" w:eastAsia="Arial" w:hAnsi="Arial"/>
          <w:sz w:val="16"/>
          <w:szCs w:val="16"/>
          <w:color w:val="auto"/>
        </w:rPr>
        <w:t xml:space="preserve">The Company has incurred substantial operating losses since inception and expects to continue to incur significant operating losses for the foreseeable future and may never become profitable. </w:t>
      </w:r>
      <w:r>
        <w:rPr>
          <w:rFonts w:ascii="Arial" w:cs="Arial" w:eastAsia="Arial" w:hAnsi="Arial"/>
          <w:sz w:val="16"/>
          <w:szCs w:val="16"/>
          <w:color w:val="212529"/>
        </w:rPr>
        <w:t>On March 17, 2021, the Company entered into the Torii Agreement (Note 11), pursuant to which the</w:t>
      </w:r>
      <w:r>
        <w:rPr>
          <w:rFonts w:ascii="Arial" w:cs="Arial" w:eastAsia="Arial" w:hAnsi="Arial"/>
          <w:sz w:val="16"/>
          <w:szCs w:val="16"/>
          <w:color w:val="auto"/>
        </w:rPr>
        <w:t xml:space="preserve"> </w:t>
      </w:r>
      <w:r>
        <w:rPr>
          <w:rFonts w:ascii="Arial" w:cs="Arial" w:eastAsia="Arial" w:hAnsi="Arial"/>
          <w:sz w:val="16"/>
          <w:szCs w:val="16"/>
          <w:color w:val="212529"/>
        </w:rPr>
        <w:t xml:space="preserve">Company received an upfront payment from Torii of $11.5 million in April 2021. </w:t>
      </w:r>
      <w:r>
        <w:rPr>
          <w:rFonts w:ascii="Arial" w:cs="Arial" w:eastAsia="Arial" w:hAnsi="Arial"/>
          <w:sz w:val="16"/>
          <w:szCs w:val="16"/>
          <w:color w:val="000000"/>
        </w:rPr>
        <w:t>On March 25, 2021, the Company closed a follow-on public offering in</w:t>
      </w:r>
      <w:r>
        <w:rPr>
          <w:rFonts w:ascii="Arial" w:cs="Arial" w:eastAsia="Arial" w:hAnsi="Arial"/>
          <w:sz w:val="16"/>
          <w:szCs w:val="16"/>
          <w:color w:val="212529"/>
        </w:rPr>
        <w:t xml:space="preserve"> </w:t>
      </w:r>
      <w:r>
        <w:rPr>
          <w:rFonts w:ascii="Arial" w:cs="Arial" w:eastAsia="Arial" w:hAnsi="Arial"/>
          <w:sz w:val="16"/>
          <w:szCs w:val="16"/>
          <w:color w:val="000000"/>
        </w:rPr>
        <w:t>which it sold 2,033,899 shares of common stock at a public offering price of $14.75 per share, resulting in net proceeds of $28.1 million after deducting underwriting discounts and commissions and offering expenses. As of June 30, 2021, the Company had an accumulated deficit of $116.6 million.</w:t>
      </w:r>
    </w:p>
    <w:p>
      <w:pPr>
        <w:spacing w:after="0" w:line="53" w:lineRule="exact"/>
        <w:rPr>
          <w:sz w:val="20"/>
          <w:szCs w:val="20"/>
          <w:color w:val="auto"/>
        </w:rPr>
      </w:pPr>
    </w:p>
    <w:p>
      <w:pPr>
        <w:ind w:firstLine="510"/>
        <w:spacing w:after="0" w:line="272" w:lineRule="auto"/>
        <w:rPr>
          <w:sz w:val="20"/>
          <w:szCs w:val="20"/>
          <w:color w:val="auto"/>
        </w:rPr>
      </w:pPr>
      <w:r>
        <w:rPr>
          <w:rFonts w:ascii="Arial" w:cs="Arial" w:eastAsia="Arial" w:hAnsi="Arial"/>
          <w:sz w:val="17"/>
          <w:szCs w:val="17"/>
          <w:color w:val="auto"/>
        </w:rPr>
        <w:t xml:space="preserve">In March 2020, the Company entered into a Mezzanine Loan Agreement (see Note 7) </w:t>
      </w:r>
      <w:r>
        <w:rPr>
          <w:rFonts w:ascii="Arial" w:cs="Arial" w:eastAsia="Arial" w:hAnsi="Arial"/>
          <w:sz w:val="17"/>
          <w:szCs w:val="17"/>
          <w:color w:val="212529"/>
        </w:rPr>
        <w:t>pursuant to which the Company borrowed (i) $35.0 million in</w:t>
      </w:r>
      <w:r>
        <w:rPr>
          <w:rFonts w:ascii="Arial" w:cs="Arial" w:eastAsia="Arial" w:hAnsi="Arial"/>
          <w:sz w:val="17"/>
          <w:szCs w:val="17"/>
          <w:color w:val="auto"/>
        </w:rPr>
        <w:t xml:space="preserve"> </w:t>
      </w:r>
      <w:r>
        <w:rPr>
          <w:rFonts w:ascii="Arial" w:cs="Arial" w:eastAsia="Arial" w:hAnsi="Arial"/>
          <w:sz w:val="17"/>
          <w:szCs w:val="17"/>
          <w:color w:val="212529"/>
        </w:rPr>
        <w:t>March 2020 and (ii) $5.0 million on March 1, 2021. As discussed in Note 7, the Mezzanine Loan Agreement was amended on October 26, 2020 and now includes a minimum liquidity covenant. If the Company is not in compliance with the minimum liquidity ratio covenant, the outstanding debt and any related final payment fees, prepayment fees, and accrued interest become due upon demand. The Company believes that, without additional financing, it is probable that it will not be in compliance with the minimum liquidity ratio covenant at some point in the next twelve months. Even if the Company is not in compliance with the minimum liquidity covenant and the debt becomes due, management believes the Company currently has sufficient funds to meet its operational requirements for at least the next twelve months from the issuance of these financial statements.</w:t>
      </w: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2—Significant Accounting Policies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117" w:lineRule="exact"/>
        <w:rPr>
          <w:sz w:val="20"/>
          <w:szCs w:val="20"/>
          <w:color w:val="auto"/>
        </w:rPr>
      </w:pPr>
    </w:p>
    <w:p>
      <w:pPr>
        <w:ind w:right="120" w:firstLine="510"/>
        <w:spacing w:after="0" w:line="270" w:lineRule="auto"/>
        <w:rPr>
          <w:sz w:val="20"/>
          <w:szCs w:val="20"/>
          <w:color w:val="auto"/>
        </w:rPr>
      </w:pPr>
      <w:r>
        <w:rPr>
          <w:rFonts w:ascii="Arial" w:cs="Arial" w:eastAsia="Arial" w:hAnsi="Arial"/>
          <w:sz w:val="17"/>
          <w:szCs w:val="17"/>
          <w:color w:val="auto"/>
        </w:rPr>
        <w:t>The accompanying unaudited interim condensed financial statements have been prepared in accordance with generally accepted accounting principles in the United States of America (“GAAP”) as determined by the Financial Accounting Standards Board (“FASB”) Accounting Standards Codification (“ASC”) for interim financial information. Accordingly, they do not include all of the information and footnotes required by GAAP for complete financial statements. In the opinion of management, the unaudited interim condensed financial statements reflect all adjustments, which include only normal recurring adjustments necessary for the fair statement of the balances and results for the periods presented. They may not include all of the information and footnotes required by GAAP for complete financial statements. Therefore, these financial statements should be read in conjunction with the Company’s audited financial statements and notes thereto for the year ended December 31, 2020, filed with the Securities and Exchange Commission (the “SEC”) on March 17, 2021. The results of operations for any interim periods are not necessarily indicative of the results that may be expected for the entire fiscal year or any other interim period.</w:t>
      </w:r>
    </w:p>
    <w:p>
      <w:pPr>
        <w:spacing w:after="0" w:line="73" w:lineRule="exact"/>
        <w:rPr>
          <w:sz w:val="20"/>
          <w:szCs w:val="20"/>
          <w:color w:val="auto"/>
        </w:rPr>
      </w:pPr>
    </w:p>
    <w:p>
      <w:pPr>
        <w:ind w:right="160" w:firstLine="510"/>
        <w:spacing w:after="0" w:line="291" w:lineRule="auto"/>
        <w:rPr>
          <w:sz w:val="20"/>
          <w:szCs w:val="20"/>
          <w:color w:val="auto"/>
        </w:rPr>
      </w:pPr>
      <w:r>
        <w:rPr>
          <w:rFonts w:ascii="Arial" w:cs="Arial" w:eastAsia="Arial" w:hAnsi="Arial"/>
          <w:sz w:val="16"/>
          <w:szCs w:val="16"/>
          <w:color w:val="auto"/>
        </w:rPr>
        <w:t>The Company has been actively monitoring the novel coronavirus (“COVID-19”) pandemic and its impact globally. Management believes the financial results for the year ended December 31, 2020, were not significantly impacted by COVID-19. In addition, management believes the remote working arrangements, travel restrictions and any other regulations imposed by various governmental jurisdictions have had limited impact on the Company’s ability to maintain internal operations during the year. The full extent to which the COVID-19 pandemic will directly or indirectly impact the Company’s business, results of operations and financial condition will depend on future developments that are highly uncertain, including as a result of new information that may emerge concerning COVID-19 and the actions taken to contain it or treat COVID-19. As a direct result of COVID-19, the Company decided to delay the initiation of its previously planned Phase 2 clinical trial to evaluate VP-103 in subjects with plantar warts.</w:t>
      </w:r>
    </w:p>
    <w:p>
      <w:pPr>
        <w:spacing w:after="0" w:line="200" w:lineRule="exact"/>
        <w:rPr>
          <w:sz w:val="20"/>
          <w:szCs w:val="20"/>
          <w:color w:val="auto"/>
        </w:rPr>
      </w:pPr>
    </w:p>
    <w:p>
      <w:pPr>
        <w:spacing w:after="0" w:line="29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337" w:right="37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117" w:lineRule="exact"/>
        <w:rPr>
          <w:sz w:val="20"/>
          <w:szCs w:val="20"/>
          <w:color w:val="auto"/>
        </w:rPr>
      </w:pPr>
    </w:p>
    <w:p>
      <w:pPr>
        <w:ind w:right="140" w:firstLine="510"/>
        <w:spacing w:after="0" w:line="254" w:lineRule="auto"/>
        <w:rPr>
          <w:sz w:val="20"/>
          <w:szCs w:val="20"/>
          <w:color w:val="auto"/>
        </w:rPr>
      </w:pPr>
      <w:r>
        <w:rPr>
          <w:rFonts w:ascii="Arial" w:cs="Arial" w:eastAsia="Arial" w:hAnsi="Arial"/>
          <w:sz w:val="18"/>
          <w:szCs w:val="18"/>
          <w:color w:val="auto"/>
        </w:rPr>
        <w:t>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expenses during the reporting period. These estimates and assumptions are based on current facts, historical experience as well as other pertinent industry and regulatory authority information, including the potential future effects of COVID-19, the results of which form the basis for making judgments about the carrying values of assets and liabilities and the recording of expenses that are not readily apparent from other sources. Actual results may differ materially and adversely from these estimates. To the extent there are material differences between the estimates and actual results, the Company’s future results of operations will be affected.</w:t>
      </w:r>
    </w:p>
    <w:p>
      <w:pPr>
        <w:spacing w:after="0" w:line="114" w:lineRule="exact"/>
        <w:rPr>
          <w:sz w:val="20"/>
          <w:szCs w:val="20"/>
          <w:color w:val="auto"/>
        </w:rPr>
      </w:pPr>
    </w:p>
    <w:p>
      <w:pPr>
        <w:spacing w:after="0"/>
        <w:rPr>
          <w:sz w:val="20"/>
          <w:szCs w:val="20"/>
          <w:color w:val="auto"/>
        </w:rPr>
      </w:pPr>
      <w:r>
        <w:rPr>
          <w:rFonts w:ascii="Arial" w:cs="Arial" w:eastAsia="Arial" w:hAnsi="Arial"/>
          <w:sz w:val="18"/>
          <w:szCs w:val="18"/>
          <w:color w:val="auto"/>
        </w:rPr>
        <w:t>S</w:t>
      </w:r>
      <w:r>
        <w:rPr>
          <w:rFonts w:ascii="Arial" w:cs="Arial" w:eastAsia="Arial" w:hAnsi="Arial"/>
          <w:sz w:val="18"/>
          <w:szCs w:val="18"/>
          <w:b w:val="1"/>
          <w:bCs w:val="1"/>
          <w:i w:val="1"/>
          <w:iCs w:val="1"/>
          <w:color w:val="auto"/>
        </w:rPr>
        <w:t>ignificant Accounting Policies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Revenue</w:t>
      </w:r>
    </w:p>
    <w:p>
      <w:pPr>
        <w:spacing w:after="0" w:line="117" w:lineRule="exact"/>
        <w:rPr>
          <w:sz w:val="20"/>
          <w:szCs w:val="20"/>
          <w:color w:val="auto"/>
        </w:rPr>
      </w:pPr>
    </w:p>
    <w:p>
      <w:pPr>
        <w:jc w:val="both"/>
        <w:ind w:right="160" w:firstLine="510"/>
        <w:spacing w:after="0" w:line="259" w:lineRule="auto"/>
        <w:rPr>
          <w:sz w:val="20"/>
          <w:szCs w:val="20"/>
          <w:color w:val="auto"/>
        </w:rPr>
      </w:pPr>
      <w:r>
        <w:rPr>
          <w:rFonts w:ascii="Arial" w:cs="Arial" w:eastAsia="Arial" w:hAnsi="Arial"/>
          <w:sz w:val="18"/>
          <w:szCs w:val="18"/>
          <w:color w:val="auto"/>
        </w:rPr>
        <w:t>In accordance with FASB’s ASC 606, Revenue from Contracts with Customers (“ASC 606”), the Company recognizes revenue when its customer obtains control of promised goods or services, in an amount that reflects the consideration which the entity expects to receive in exchange for those goods or services. To determine revenue recognition for arrangements that the Company determines are within the scope of ASC 606, it performs the following five steps:</w:t>
      </w:r>
    </w:p>
    <w:p>
      <w:pPr>
        <w:spacing w:after="0" w:line="295" w:lineRule="exact"/>
        <w:rPr>
          <w:sz w:val="20"/>
          <w:szCs w:val="20"/>
          <w:color w:val="auto"/>
        </w:rPr>
      </w:pPr>
    </w:p>
    <w:p>
      <w:pPr>
        <w:ind w:left="1000" w:hanging="493"/>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identify the contract(s) with a customer;</w:t>
      </w:r>
    </w:p>
    <w:p>
      <w:pPr>
        <w:spacing w:after="0" w:line="225" w:lineRule="exact"/>
        <w:rPr>
          <w:rFonts w:ascii="Arial" w:cs="Arial" w:eastAsia="Arial" w:hAnsi="Arial"/>
          <w:sz w:val="18"/>
          <w:szCs w:val="18"/>
          <w:color w:val="auto"/>
        </w:rPr>
      </w:pPr>
    </w:p>
    <w:p>
      <w:pPr>
        <w:ind w:left="1000" w:hanging="493"/>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identify the performance obligations in the contract;</w:t>
      </w:r>
    </w:p>
    <w:p>
      <w:pPr>
        <w:spacing w:after="0" w:line="225" w:lineRule="exact"/>
        <w:rPr>
          <w:rFonts w:ascii="Arial" w:cs="Arial" w:eastAsia="Arial" w:hAnsi="Arial"/>
          <w:sz w:val="18"/>
          <w:szCs w:val="18"/>
          <w:color w:val="auto"/>
        </w:rPr>
      </w:pPr>
    </w:p>
    <w:p>
      <w:pPr>
        <w:ind w:left="1000" w:hanging="493"/>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determine the transaction price;</w:t>
      </w:r>
    </w:p>
    <w:p>
      <w:pPr>
        <w:spacing w:after="0" w:line="225" w:lineRule="exact"/>
        <w:rPr>
          <w:rFonts w:ascii="Arial" w:cs="Arial" w:eastAsia="Arial" w:hAnsi="Arial"/>
          <w:sz w:val="18"/>
          <w:szCs w:val="18"/>
          <w:color w:val="auto"/>
        </w:rPr>
      </w:pPr>
    </w:p>
    <w:p>
      <w:pPr>
        <w:ind w:left="1000" w:hanging="493"/>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allocate the transaction price to the performance obligations in the contract; and</w:t>
      </w:r>
    </w:p>
    <w:p>
      <w:pPr>
        <w:spacing w:after="0" w:line="225" w:lineRule="exact"/>
        <w:rPr>
          <w:rFonts w:ascii="Arial" w:cs="Arial" w:eastAsia="Arial" w:hAnsi="Arial"/>
          <w:sz w:val="18"/>
          <w:szCs w:val="18"/>
          <w:color w:val="auto"/>
        </w:rPr>
      </w:pPr>
    </w:p>
    <w:p>
      <w:pPr>
        <w:ind w:left="1000" w:hanging="493"/>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recognize revenue when (or as) the entity satisfies a performance obligation.</w:t>
      </w:r>
    </w:p>
    <w:p>
      <w:pPr>
        <w:spacing w:after="0" w:line="225" w:lineRule="exact"/>
        <w:rPr>
          <w:sz w:val="20"/>
          <w:szCs w:val="20"/>
          <w:color w:val="auto"/>
        </w:rPr>
      </w:pPr>
    </w:p>
    <w:p>
      <w:pPr>
        <w:ind w:firstLine="510"/>
        <w:spacing w:after="0" w:line="257" w:lineRule="auto"/>
        <w:rPr>
          <w:sz w:val="20"/>
          <w:szCs w:val="20"/>
          <w:color w:val="auto"/>
        </w:rPr>
      </w:pPr>
      <w:r>
        <w:rPr>
          <w:rFonts w:ascii="Arial" w:cs="Arial" w:eastAsia="Arial" w:hAnsi="Arial"/>
          <w:sz w:val="18"/>
          <w:szCs w:val="18"/>
          <w:color w:val="auto"/>
        </w:rPr>
        <w:t>The Company applies the five-step model to contracts when it determines that it is probable it will collect the consideration it is entitled to in exchange for the goods or services it transfers to the customer. At contract inception, once the contract is determined to be within the scope of ASC 606, the Company assesses the goods or services promised within each contract and determines those that are performance obligations and assesses whether each promised good or service is distinct. The Company then recognizes as revenue the amount of the transaction price that is allocated to the respective performance obligation when (or as) the performance obligation is satisfied.</w:t>
      </w:r>
    </w:p>
    <w:p>
      <w:pPr>
        <w:spacing w:after="0" w:line="80"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License Revenues</w:t>
      </w:r>
    </w:p>
    <w:p>
      <w:pPr>
        <w:spacing w:after="0" w:line="117" w:lineRule="exact"/>
        <w:rPr>
          <w:sz w:val="20"/>
          <w:szCs w:val="20"/>
          <w:color w:val="auto"/>
        </w:rPr>
      </w:pPr>
    </w:p>
    <w:p>
      <w:pPr>
        <w:ind w:right="80" w:firstLine="510"/>
        <w:spacing w:after="0" w:line="286" w:lineRule="auto"/>
        <w:rPr>
          <w:sz w:val="20"/>
          <w:szCs w:val="20"/>
          <w:color w:val="auto"/>
        </w:rPr>
      </w:pPr>
      <w:r>
        <w:rPr>
          <w:rFonts w:ascii="Arial" w:cs="Arial" w:eastAsia="Arial" w:hAnsi="Arial"/>
          <w:sz w:val="17"/>
          <w:szCs w:val="17"/>
          <w:color w:val="auto"/>
        </w:rPr>
        <w:t>The Company’s revenues have been solely generated through licensing arrangements. The terms of the agreement typically include payments to the Company of one or more of the following: nonrefundable, up-front license fees: regulatory and commercial milestone payments; payments for manufacturing supply services; materials shipped to support development; and royalties on net sales of licensed products.</w:t>
      </w:r>
    </w:p>
    <w:p>
      <w:pPr>
        <w:spacing w:after="0" w:line="165" w:lineRule="exact"/>
        <w:rPr>
          <w:sz w:val="20"/>
          <w:szCs w:val="20"/>
          <w:color w:val="auto"/>
        </w:rPr>
      </w:pPr>
    </w:p>
    <w:p>
      <w:pPr>
        <w:ind w:right="120" w:firstLine="510"/>
        <w:spacing w:after="0" w:line="277" w:lineRule="auto"/>
        <w:rPr>
          <w:sz w:val="20"/>
          <w:szCs w:val="20"/>
          <w:color w:val="auto"/>
        </w:rPr>
      </w:pPr>
      <w:r>
        <w:rPr>
          <w:rFonts w:ascii="Arial" w:cs="Arial" w:eastAsia="Arial" w:hAnsi="Arial"/>
          <w:sz w:val="18"/>
          <w:szCs w:val="18"/>
          <w:color w:val="auto"/>
        </w:rPr>
        <w:t>In determining the appropriate amount of revenue to be recognized as it fulfills its obligations under each of its agreements, the Company performs the following steps:</w:t>
      </w:r>
    </w:p>
    <w:p>
      <w:pPr>
        <w:spacing w:after="0" w:line="278" w:lineRule="exact"/>
        <w:rPr>
          <w:sz w:val="20"/>
          <w:szCs w:val="20"/>
          <w:color w:val="auto"/>
        </w:rPr>
      </w:pPr>
    </w:p>
    <w:p>
      <w:pPr>
        <w:ind w:left="1000" w:hanging="493"/>
        <w:spacing w:after="0"/>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color w:val="auto"/>
        </w:rPr>
        <w:t>identification of the promised goods or services in the contract;</w:t>
      </w:r>
    </w:p>
    <w:p>
      <w:pPr>
        <w:spacing w:after="0" w:line="225" w:lineRule="exact"/>
        <w:rPr>
          <w:rFonts w:ascii="Arial" w:cs="Arial" w:eastAsia="Arial" w:hAnsi="Arial"/>
          <w:sz w:val="18"/>
          <w:szCs w:val="18"/>
          <w:color w:val="auto"/>
        </w:rPr>
      </w:pPr>
    </w:p>
    <w:p>
      <w:pPr>
        <w:ind w:left="1000" w:right="60" w:hanging="493"/>
        <w:spacing w:after="0" w:line="277" w:lineRule="auto"/>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color w:val="auto"/>
        </w:rPr>
        <w:t>determination of whether the promised goods or services are performance obligations including whether they are distinct in the context of the contract;</w:t>
      </w:r>
    </w:p>
    <w:p>
      <w:pPr>
        <w:spacing w:after="0" w:line="170" w:lineRule="exact"/>
        <w:rPr>
          <w:rFonts w:ascii="Arial" w:cs="Arial" w:eastAsia="Arial" w:hAnsi="Arial"/>
          <w:sz w:val="18"/>
          <w:szCs w:val="18"/>
          <w:color w:val="auto"/>
        </w:rPr>
      </w:pPr>
    </w:p>
    <w:p>
      <w:pPr>
        <w:ind w:left="1000" w:hanging="493"/>
        <w:spacing w:after="0"/>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color w:val="auto"/>
        </w:rPr>
        <w:t>measurement of the transaction price, including the constraint on variable consideration;</w:t>
      </w:r>
    </w:p>
    <w:p>
      <w:pPr>
        <w:spacing w:after="0" w:line="225" w:lineRule="exact"/>
        <w:rPr>
          <w:rFonts w:ascii="Arial" w:cs="Arial" w:eastAsia="Arial" w:hAnsi="Arial"/>
          <w:sz w:val="18"/>
          <w:szCs w:val="18"/>
          <w:color w:val="auto"/>
        </w:rPr>
      </w:pPr>
    </w:p>
    <w:p>
      <w:pPr>
        <w:ind w:left="1000" w:hanging="493"/>
        <w:spacing w:after="0"/>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color w:val="auto"/>
        </w:rPr>
        <w:t>allocation of the transaction price to the performance obligations; and</w:t>
      </w:r>
    </w:p>
    <w:p>
      <w:pPr>
        <w:spacing w:after="0" w:line="225" w:lineRule="exact"/>
        <w:rPr>
          <w:rFonts w:ascii="Arial" w:cs="Arial" w:eastAsia="Arial" w:hAnsi="Arial"/>
          <w:sz w:val="18"/>
          <w:szCs w:val="18"/>
          <w:color w:val="auto"/>
        </w:rPr>
      </w:pPr>
    </w:p>
    <w:p>
      <w:pPr>
        <w:ind w:left="1000" w:hanging="493"/>
        <w:spacing w:after="0"/>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recognition of revenue when (or as) the Company satisfies each performance obligation.</w:t>
      </w:r>
    </w:p>
    <w:p>
      <w:pPr>
        <w:spacing w:after="0" w:line="225" w:lineRule="exact"/>
        <w:rPr>
          <w:sz w:val="20"/>
          <w:szCs w:val="20"/>
          <w:color w:val="auto"/>
        </w:rPr>
      </w:pPr>
    </w:p>
    <w:p>
      <w:pPr>
        <w:ind w:right="20" w:firstLine="510"/>
        <w:spacing w:after="0" w:line="273" w:lineRule="auto"/>
        <w:rPr>
          <w:sz w:val="20"/>
          <w:szCs w:val="20"/>
          <w:color w:val="auto"/>
        </w:rPr>
      </w:pPr>
      <w:r>
        <w:rPr>
          <w:rFonts w:ascii="Arial" w:cs="Arial" w:eastAsia="Arial" w:hAnsi="Arial"/>
          <w:sz w:val="17"/>
          <w:szCs w:val="17"/>
          <w:color w:val="auto"/>
        </w:rPr>
        <w:t>The Company also assesses whether there is an option in a contract to acquire additional goods or services. An option gives rise to a performance obligation only if the option provides a material right to the customer that it would not receive without entering into that contract. Factors that the Company considers in evaluating whether an option represents a material right include, but are not limited to: (i) the overall objective of the arrangement, (ii) the benefit the collaborator might obtain from the arrangement without exercising the option, (iii) the cost to exercise the option (e.g. priced at a significant and incremental discount) and (iv) the likelihood that the option will be exercised. With respect to options determined to be performance obligations, the Company recognizes revenue when those future goods or services are transferred or when the options expire.</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706" w:right="339" w:bottom="1440" w:gutter="0" w:footer="0" w:header="0"/>
        </w:sectPr>
      </w:pPr>
    </w:p>
    <w:bookmarkStart w:id="8" w:name="page9"/>
    <w:bookmarkEnd w:id="8"/>
    <w:p>
      <w:pPr>
        <w:ind w:left="520"/>
        <w:spacing w:after="0"/>
        <w:rPr>
          <w:sz w:val="20"/>
          <w:szCs w:val="20"/>
          <w:color w:val="auto"/>
        </w:rPr>
      </w:pPr>
      <w:r>
        <w:rPr>
          <w:rFonts w:ascii="Arial" w:cs="Arial" w:eastAsia="Arial" w:hAnsi="Arial"/>
          <w:sz w:val="18"/>
          <w:szCs w:val="18"/>
          <w:color w:val="auto"/>
        </w:rPr>
        <w:t>The Company’s revenue arrangements may include the following:</w:t>
      </w:r>
    </w:p>
    <w:p>
      <w:pPr>
        <w:spacing w:after="0" w:line="225" w:lineRule="exact"/>
        <w:rPr>
          <w:sz w:val="20"/>
          <w:szCs w:val="20"/>
          <w:color w:val="auto"/>
        </w:rPr>
      </w:pPr>
    </w:p>
    <w:p>
      <w:pPr>
        <w:ind w:right="60" w:firstLine="510"/>
        <w:spacing w:after="0" w:line="293" w:lineRule="auto"/>
        <w:rPr>
          <w:sz w:val="20"/>
          <w:szCs w:val="20"/>
          <w:color w:val="auto"/>
        </w:rPr>
      </w:pPr>
      <w:r>
        <w:rPr>
          <w:rFonts w:ascii="Arial" w:cs="Arial" w:eastAsia="Arial" w:hAnsi="Arial"/>
          <w:sz w:val="16"/>
          <w:szCs w:val="16"/>
          <w:i w:val="1"/>
          <w:iCs w:val="1"/>
          <w:color w:val="auto"/>
        </w:rPr>
        <w:t>Up-front License Fees</w:t>
      </w:r>
      <w:r>
        <w:rPr>
          <w:rFonts w:ascii="Arial" w:cs="Arial" w:eastAsia="Arial" w:hAnsi="Arial"/>
          <w:sz w:val="16"/>
          <w:szCs w:val="16"/>
          <w:color w:val="auto"/>
        </w:rPr>
        <w:t>: If a license is determined to be distinct from the other performance obligations identified in the arrangement, the Company</w:t>
      </w:r>
      <w:r>
        <w:rPr>
          <w:rFonts w:ascii="Arial" w:cs="Arial" w:eastAsia="Arial" w:hAnsi="Arial"/>
          <w:sz w:val="16"/>
          <w:szCs w:val="16"/>
          <w:i w:val="1"/>
          <w:iCs w:val="1"/>
          <w:color w:val="auto"/>
        </w:rPr>
        <w:t xml:space="preserve"> </w:t>
      </w:r>
      <w:r>
        <w:rPr>
          <w:rFonts w:ascii="Arial" w:cs="Arial" w:eastAsia="Arial" w:hAnsi="Arial"/>
          <w:sz w:val="16"/>
          <w:szCs w:val="16"/>
          <w:color w:val="auto"/>
        </w:rPr>
        <w:t>recognizes revenues from nonrefundable, up-front fees allocated to the license when the license is transferred to the licensee and the licensee is able to use and benefit from the license. For licenses that are bundled with other promises, the Company utilizes judgment to assess the nature of the combined performance obligation to determine whether the combined performance obligation is satisfied over time or at a point in time and, if over time, the appropriate method of measuring progress for purposes of recognizing revenue from non-refundable, up-front fees. The Company evaluates the measure of progress each reporting period and, if necessary, adjusts the measure of performance and related revenue recognition.</w:t>
      </w:r>
    </w:p>
    <w:p>
      <w:pPr>
        <w:spacing w:after="0" w:line="164" w:lineRule="exact"/>
        <w:rPr>
          <w:sz w:val="20"/>
          <w:szCs w:val="20"/>
          <w:color w:val="auto"/>
        </w:rPr>
      </w:pPr>
    </w:p>
    <w:p>
      <w:pPr>
        <w:ind w:right="100" w:firstLine="510"/>
        <w:spacing w:after="0" w:line="255" w:lineRule="auto"/>
        <w:rPr>
          <w:sz w:val="20"/>
          <w:szCs w:val="20"/>
          <w:color w:val="auto"/>
        </w:rPr>
      </w:pPr>
      <w:r>
        <w:rPr>
          <w:rFonts w:ascii="Arial" w:cs="Arial" w:eastAsia="Arial" w:hAnsi="Arial"/>
          <w:sz w:val="18"/>
          <w:szCs w:val="18"/>
          <w:i w:val="1"/>
          <w:iCs w:val="1"/>
          <w:color w:val="auto"/>
        </w:rPr>
        <w:t>Milestone Payments</w:t>
      </w:r>
      <w:r>
        <w:rPr>
          <w:rFonts w:ascii="Arial" w:cs="Arial" w:eastAsia="Arial" w:hAnsi="Arial"/>
          <w:sz w:val="18"/>
          <w:szCs w:val="18"/>
          <w:color w:val="auto"/>
        </w:rPr>
        <w:t>: At the inception of an agreement that includes regulatory or commercial milestone payments, the Company evaluates whether</w:t>
      </w:r>
      <w:r>
        <w:rPr>
          <w:rFonts w:ascii="Arial" w:cs="Arial" w:eastAsia="Arial" w:hAnsi="Arial"/>
          <w:sz w:val="18"/>
          <w:szCs w:val="18"/>
          <w:i w:val="1"/>
          <w:iCs w:val="1"/>
          <w:color w:val="auto"/>
        </w:rPr>
        <w:t xml:space="preserve"> </w:t>
      </w:r>
      <w:r>
        <w:rPr>
          <w:rFonts w:ascii="Arial" w:cs="Arial" w:eastAsia="Arial" w:hAnsi="Arial"/>
          <w:sz w:val="18"/>
          <w:szCs w:val="18"/>
          <w:color w:val="auto"/>
        </w:rPr>
        <w:t>each milestone is considered probable of being achieved and estimates the amount to be included in the transaction price using the most likely amount method. If it is probable that a significant revenue reversal would not occur, the associated milestone value is included in the transaction price. Milestone payments that are not within the control of the Company or the licensee, such as regulatory approvals, are not considered probable of being achieved until those approvals are received. At each reporting period, the Company assesses the probability of achievement of each milestone under its current agreements.</w:t>
      </w:r>
    </w:p>
    <w:p>
      <w:pPr>
        <w:spacing w:after="0" w:line="192" w:lineRule="exact"/>
        <w:rPr>
          <w:sz w:val="20"/>
          <w:szCs w:val="20"/>
          <w:color w:val="auto"/>
        </w:rPr>
      </w:pPr>
    </w:p>
    <w:p>
      <w:pPr>
        <w:ind w:right="40" w:firstLine="510"/>
        <w:spacing w:after="0" w:line="259" w:lineRule="auto"/>
        <w:rPr>
          <w:sz w:val="20"/>
          <w:szCs w:val="20"/>
          <w:color w:val="auto"/>
        </w:rPr>
      </w:pPr>
      <w:r>
        <w:rPr>
          <w:rFonts w:ascii="Arial" w:cs="Arial" w:eastAsia="Arial" w:hAnsi="Arial"/>
          <w:sz w:val="18"/>
          <w:szCs w:val="18"/>
          <w:i w:val="1"/>
          <w:iCs w:val="1"/>
          <w:color w:val="auto"/>
        </w:rPr>
        <w:t>Royalties</w:t>
      </w:r>
      <w:r>
        <w:rPr>
          <w:rFonts w:ascii="Arial" w:cs="Arial" w:eastAsia="Arial" w:hAnsi="Arial"/>
          <w:sz w:val="18"/>
          <w:szCs w:val="18"/>
          <w:color w:val="auto"/>
        </w:rPr>
        <w:t>: If the Company is entitled to receive sales-based royalties from its collaborator, including milestone payments based on the level of sales,</w:t>
      </w:r>
      <w:r>
        <w:rPr>
          <w:rFonts w:ascii="Arial" w:cs="Arial" w:eastAsia="Arial" w:hAnsi="Arial"/>
          <w:sz w:val="18"/>
          <w:szCs w:val="18"/>
          <w:i w:val="1"/>
          <w:iCs w:val="1"/>
          <w:color w:val="auto"/>
        </w:rPr>
        <w:t xml:space="preserve"> </w:t>
      </w:r>
      <w:r>
        <w:rPr>
          <w:rFonts w:ascii="Arial" w:cs="Arial" w:eastAsia="Arial" w:hAnsi="Arial"/>
          <w:sz w:val="18"/>
          <w:szCs w:val="18"/>
          <w:color w:val="auto"/>
        </w:rPr>
        <w:t>and the license is deemed to be the predominant item to which the royalties relate, the Company recognizes revenue at the later of (i) when the related sales occur, provided the reported sales are reliably measurable, or (ii) when the performance obligation to which some or all of the royalty has been allocated has been satisfied (or partially satisfied).</w:t>
      </w:r>
    </w:p>
    <w:p>
      <w:pPr>
        <w:spacing w:after="0" w:line="187" w:lineRule="exact"/>
        <w:rPr>
          <w:sz w:val="20"/>
          <w:szCs w:val="20"/>
          <w:color w:val="auto"/>
        </w:rPr>
      </w:pPr>
    </w:p>
    <w:p>
      <w:pPr>
        <w:ind w:right="120" w:firstLine="510"/>
        <w:spacing w:after="0" w:line="263" w:lineRule="auto"/>
        <w:rPr>
          <w:sz w:val="20"/>
          <w:szCs w:val="20"/>
          <w:color w:val="auto"/>
        </w:rPr>
      </w:pPr>
      <w:r>
        <w:rPr>
          <w:rFonts w:ascii="Arial" w:cs="Arial" w:eastAsia="Arial" w:hAnsi="Arial"/>
          <w:sz w:val="18"/>
          <w:szCs w:val="18"/>
          <w:i w:val="1"/>
          <w:iCs w:val="1"/>
          <w:color w:val="auto"/>
        </w:rPr>
        <w:t>Manufacturing Supply and Research Services</w:t>
      </w:r>
      <w:r>
        <w:rPr>
          <w:rFonts w:ascii="Arial" w:cs="Arial" w:eastAsia="Arial" w:hAnsi="Arial"/>
          <w:sz w:val="18"/>
          <w:szCs w:val="18"/>
          <w:color w:val="auto"/>
        </w:rPr>
        <w:t>: Arrangements that include a promise for future supply of drug substance or drug product for either</w:t>
      </w:r>
      <w:r>
        <w:rPr>
          <w:rFonts w:ascii="Arial" w:cs="Arial" w:eastAsia="Arial" w:hAnsi="Arial"/>
          <w:sz w:val="18"/>
          <w:szCs w:val="18"/>
          <w:i w:val="1"/>
          <w:iCs w:val="1"/>
          <w:color w:val="auto"/>
        </w:rPr>
        <w:t xml:space="preserve"> </w:t>
      </w:r>
      <w:r>
        <w:rPr>
          <w:rFonts w:ascii="Arial" w:cs="Arial" w:eastAsia="Arial" w:hAnsi="Arial"/>
          <w:sz w:val="18"/>
          <w:szCs w:val="18"/>
          <w:color w:val="auto"/>
        </w:rPr>
        <w:t>clinical development or commercial supply at the licensee’s discretion are generally considered as options. The Company assesses if these options provide a material right to the licensee and if so, they are accounted for as separate performance obligations.</w:t>
      </w:r>
    </w:p>
    <w:p>
      <w:pPr>
        <w:spacing w:after="0" w:line="184" w:lineRule="exact"/>
        <w:rPr>
          <w:sz w:val="20"/>
          <w:szCs w:val="20"/>
          <w:color w:val="auto"/>
        </w:rPr>
      </w:pPr>
    </w:p>
    <w:p>
      <w:pPr>
        <w:ind w:right="200" w:firstLine="510"/>
        <w:spacing w:after="0" w:line="255" w:lineRule="auto"/>
        <w:rPr>
          <w:sz w:val="20"/>
          <w:szCs w:val="20"/>
          <w:color w:val="auto"/>
        </w:rPr>
      </w:pPr>
      <w:r>
        <w:rPr>
          <w:rFonts w:ascii="Arial" w:cs="Arial" w:eastAsia="Arial" w:hAnsi="Arial"/>
          <w:sz w:val="18"/>
          <w:szCs w:val="18"/>
          <w:color w:val="auto"/>
        </w:rPr>
        <w:t>The Company receives payments from its licensees based on schedules established in each contract. Upfront payments are recorded as deferred revenue upon receipt, and may require deferral of revenue recognition to a future period until the Company performs its obligations under these arrangements. Amounts are recorded as accounts receivable when the Company’s right to consideration is unconditional. The Company does not assess whether a contract has a significant financing component if the expectation at contract inception is such that the period between payment by the licensees and the transfer of the promised goods or services to the licensees will be one year or less. See Note 11 for a full discussion of the Company’s license revenue.</w:t>
      </w:r>
    </w:p>
    <w:p>
      <w:pPr>
        <w:spacing w:after="0" w:line="192" w:lineRule="exact"/>
        <w:rPr>
          <w:sz w:val="20"/>
          <w:szCs w:val="20"/>
          <w:color w:val="auto"/>
        </w:rPr>
      </w:pPr>
    </w:p>
    <w:p>
      <w:pPr>
        <w:ind w:right="60" w:firstLine="510"/>
        <w:spacing w:after="0" w:line="277" w:lineRule="auto"/>
        <w:rPr>
          <w:sz w:val="20"/>
          <w:szCs w:val="20"/>
          <w:color w:val="auto"/>
        </w:rPr>
      </w:pPr>
      <w:r>
        <w:rPr>
          <w:rFonts w:ascii="Arial" w:cs="Arial" w:eastAsia="Arial" w:hAnsi="Arial"/>
          <w:sz w:val="18"/>
          <w:szCs w:val="18"/>
          <w:color w:val="auto"/>
        </w:rPr>
        <w:t>There have been no material changes in the Company’s other significant accounting policies to those previously disclosed in the Company’s Annual Report on Form 10-K for the fiscal year ended December 31, 2020.</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Loss Per Share</w:t>
      </w:r>
    </w:p>
    <w:p>
      <w:pPr>
        <w:spacing w:after="0" w:line="117" w:lineRule="exact"/>
        <w:rPr>
          <w:sz w:val="20"/>
          <w:szCs w:val="20"/>
          <w:color w:val="auto"/>
        </w:rPr>
      </w:pPr>
    </w:p>
    <w:p>
      <w:pPr>
        <w:ind w:right="240" w:firstLine="510"/>
        <w:spacing w:after="0" w:line="259" w:lineRule="auto"/>
        <w:rPr>
          <w:sz w:val="20"/>
          <w:szCs w:val="20"/>
          <w:color w:val="auto"/>
        </w:rPr>
      </w:pPr>
      <w:r>
        <w:rPr>
          <w:rFonts w:ascii="Arial" w:cs="Arial" w:eastAsia="Arial" w:hAnsi="Arial"/>
          <w:sz w:val="18"/>
          <w:szCs w:val="18"/>
          <w:color w:val="auto"/>
        </w:rPr>
        <w:t>Net loss per share of common stock is computed by dividing net loss by the weighted average number of shares of common stock outstanding for the period. Diluted net loss per share excludes the potential impact of common stock options and unvested shares of restricted stock because their effect would be anti-dilutive due to the Company’s net loss. Since the Company had a net loss in each of the periods presented, basic and diluted net loss per common share are the same.</w:t>
      </w:r>
    </w:p>
    <w:p>
      <w:pPr>
        <w:spacing w:after="0" w:line="187" w:lineRule="exact"/>
        <w:rPr>
          <w:sz w:val="20"/>
          <w:szCs w:val="20"/>
          <w:color w:val="auto"/>
        </w:rPr>
      </w:pPr>
    </w:p>
    <w:p>
      <w:pPr>
        <w:ind w:right="600" w:firstLine="510"/>
        <w:spacing w:after="0" w:line="277" w:lineRule="auto"/>
        <w:rPr>
          <w:sz w:val="20"/>
          <w:szCs w:val="20"/>
          <w:color w:val="auto"/>
        </w:rPr>
      </w:pPr>
      <w:r>
        <w:rPr>
          <w:rFonts w:ascii="Arial" w:cs="Arial" w:eastAsia="Arial" w:hAnsi="Arial"/>
          <w:sz w:val="18"/>
          <w:szCs w:val="18"/>
          <w:color w:val="auto"/>
        </w:rPr>
        <w:t>The table below provides potential shares outstanding that were not included in the computation of diluted net loss per common share, as the inclusion of these securities would have been anti-dilutive:</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70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680" w:type="dxa"/>
            <w:vAlign w:val="bottom"/>
            <w:tcBorders>
              <w:bottom w:val="single" w:sz="8" w:color="auto"/>
            </w:tcBorders>
            <w:gridSpan w:val="3"/>
          </w:tcPr>
          <w:p>
            <w:pPr>
              <w:ind w:left="800"/>
              <w:spacing w:after="0"/>
              <w:rPr>
                <w:sz w:val="20"/>
                <w:szCs w:val="20"/>
                <w:color w:val="auto"/>
              </w:rPr>
            </w:pPr>
            <w:r>
              <w:rPr>
                <w:rFonts w:ascii="Arial" w:cs="Arial" w:eastAsia="Arial" w:hAnsi="Arial"/>
                <w:sz w:val="14"/>
                <w:szCs w:val="14"/>
                <w:b w:val="1"/>
                <w:bCs w:val="1"/>
                <w:color w:val="auto"/>
                <w:w w:val="90"/>
              </w:rPr>
              <w:t>As of June 30,</w:t>
            </w:r>
          </w:p>
        </w:tc>
        <w:tc>
          <w:tcPr>
            <w:tcW w:w="78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156"/>
        </w:trPr>
        <w:tc>
          <w:tcPr>
            <w:tcW w:w="1700" w:type="dxa"/>
            <w:vAlign w:val="bottom"/>
          </w:tcPr>
          <w:p>
            <w:pPr>
              <w:spacing w:after="0"/>
              <w:rPr>
                <w:sz w:val="13"/>
                <w:szCs w:val="13"/>
                <w:color w:val="auto"/>
              </w:rPr>
            </w:pPr>
          </w:p>
        </w:tc>
        <w:tc>
          <w:tcPr>
            <w:tcW w:w="3640" w:type="dxa"/>
            <w:vAlign w:val="bottom"/>
            <w:tcBorders>
              <w:bottom w:val="single" w:sz="8" w:color="CFF0FC"/>
            </w:tcBorders>
          </w:tcPr>
          <w:p>
            <w:pPr>
              <w:spacing w:after="0"/>
              <w:rPr>
                <w:sz w:val="13"/>
                <w:szCs w:val="13"/>
                <w:color w:val="auto"/>
              </w:rPr>
            </w:pPr>
          </w:p>
        </w:tc>
        <w:tc>
          <w:tcPr>
            <w:tcW w:w="1680" w:type="dxa"/>
            <w:vAlign w:val="bottom"/>
            <w:tcBorders>
              <w:bottom w:val="single" w:sz="8" w:color="CFF0FC"/>
            </w:tcBorders>
          </w:tcPr>
          <w:p>
            <w:pPr>
              <w:spacing w:after="0"/>
              <w:rPr>
                <w:sz w:val="13"/>
                <w:szCs w:val="13"/>
                <w:color w:val="auto"/>
              </w:rPr>
            </w:pPr>
          </w:p>
        </w:tc>
        <w:tc>
          <w:tcPr>
            <w:tcW w:w="1260" w:type="dxa"/>
            <w:vAlign w:val="bottom"/>
            <w:tcBorders>
              <w:bottom w:val="single" w:sz="8" w:color="auto"/>
            </w:tcBorders>
          </w:tcPr>
          <w:p>
            <w:pPr>
              <w:jc w:val="right"/>
              <w:ind w:right="442"/>
              <w:spacing w:after="0" w:line="155" w:lineRule="exact"/>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FF0FC"/>
            </w:tcBorders>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jc w:val="right"/>
              <w:ind w:right="316"/>
              <w:spacing w:after="0" w:line="155" w:lineRule="exact"/>
              <w:rPr>
                <w:sz w:val="20"/>
                <w:szCs w:val="20"/>
                <w:color w:val="auto"/>
              </w:rPr>
            </w:pPr>
            <w:r>
              <w:rPr>
                <w:rFonts w:ascii="Arial" w:cs="Arial" w:eastAsia="Arial" w:hAnsi="Arial"/>
                <w:sz w:val="14"/>
                <w:szCs w:val="14"/>
                <w:b w:val="1"/>
                <w:bCs w:val="1"/>
                <w:color w:val="auto"/>
              </w:rPr>
              <w:t>2020</w:t>
            </w:r>
          </w:p>
        </w:tc>
        <w:tc>
          <w:tcPr>
            <w:tcW w:w="80" w:type="dxa"/>
            <w:vAlign w:val="bottom"/>
            <w:tcBorders>
              <w:bottom w:val="single" w:sz="8" w:color="CFF0FC"/>
            </w:tcBorders>
          </w:tcPr>
          <w:p>
            <w:pPr>
              <w:spacing w:after="0"/>
              <w:rPr>
                <w:sz w:val="13"/>
                <w:szCs w:val="13"/>
                <w:color w:val="auto"/>
              </w:rPr>
            </w:pPr>
          </w:p>
        </w:tc>
        <w:tc>
          <w:tcPr>
            <w:tcW w:w="1680" w:type="dxa"/>
            <w:vAlign w:val="bottom"/>
          </w:tcPr>
          <w:p>
            <w:pPr>
              <w:spacing w:after="0"/>
              <w:rPr>
                <w:sz w:val="13"/>
                <w:szCs w:val="13"/>
                <w:color w:val="auto"/>
              </w:rPr>
            </w:pPr>
          </w:p>
        </w:tc>
      </w:tr>
      <w:tr>
        <w:trPr>
          <w:trHeight w:val="223"/>
        </w:trPr>
        <w:tc>
          <w:tcPr>
            <w:tcW w:w="1700" w:type="dxa"/>
            <w:vAlign w:val="bottom"/>
          </w:tcPr>
          <w:p>
            <w:pPr>
              <w:spacing w:after="0"/>
              <w:rPr>
                <w:sz w:val="19"/>
                <w:szCs w:val="19"/>
                <w:color w:val="auto"/>
              </w:rPr>
            </w:pPr>
          </w:p>
        </w:tc>
        <w:tc>
          <w:tcPr>
            <w:tcW w:w="3640" w:type="dxa"/>
            <w:vAlign w:val="bottom"/>
            <w:shd w:val="clear" w:color="auto" w:fill="CFF0FC"/>
          </w:tcPr>
          <w:p>
            <w:pPr>
              <w:spacing w:after="0"/>
              <w:rPr>
                <w:sz w:val="20"/>
                <w:szCs w:val="20"/>
                <w:color w:val="auto"/>
              </w:rPr>
            </w:pPr>
            <w:r>
              <w:rPr>
                <w:rFonts w:ascii="Arial" w:cs="Arial" w:eastAsia="Arial" w:hAnsi="Arial"/>
                <w:sz w:val="18"/>
                <w:szCs w:val="18"/>
                <w:color w:val="auto"/>
                <w:w w:val="96"/>
              </w:rPr>
              <w:t>Shares issuable upon exercise of stock options</w:t>
            </w:r>
          </w:p>
        </w:tc>
        <w:tc>
          <w:tcPr>
            <w:tcW w:w="1680" w:type="dxa"/>
            <w:vAlign w:val="bottom"/>
            <w:shd w:val="clear" w:color="auto" w:fill="CFF0FC"/>
          </w:tcPr>
          <w:p>
            <w:pPr>
              <w:spacing w:after="0"/>
              <w:rPr>
                <w:sz w:val="19"/>
                <w:szCs w:val="19"/>
                <w:color w:val="auto"/>
              </w:rPr>
            </w:pPr>
          </w:p>
        </w:tc>
        <w:tc>
          <w:tcPr>
            <w:tcW w:w="1260" w:type="dxa"/>
            <w:vAlign w:val="bottom"/>
            <w:shd w:val="clear" w:color="auto" w:fill="CFF0FC"/>
          </w:tcPr>
          <w:p>
            <w:pPr>
              <w:jc w:val="right"/>
              <w:ind w:right="2"/>
              <w:spacing w:after="0"/>
              <w:rPr>
                <w:sz w:val="20"/>
                <w:szCs w:val="20"/>
                <w:color w:val="auto"/>
              </w:rPr>
            </w:pPr>
            <w:r>
              <w:rPr>
                <w:rFonts w:ascii="Arial" w:cs="Arial" w:eastAsia="Arial" w:hAnsi="Arial"/>
                <w:sz w:val="18"/>
                <w:szCs w:val="18"/>
                <w:color w:val="auto"/>
              </w:rPr>
              <w:t>3,762,336</w:t>
            </w:r>
          </w:p>
        </w:tc>
        <w:tc>
          <w:tcPr>
            <w:tcW w:w="1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2"/>
              </w:rPr>
              <w:t>2,608,178</w:t>
            </w:r>
          </w:p>
        </w:tc>
        <w:tc>
          <w:tcPr>
            <w:tcW w:w="80" w:type="dxa"/>
            <w:vAlign w:val="bottom"/>
            <w:shd w:val="clear" w:color="auto" w:fill="CFF0FC"/>
          </w:tcPr>
          <w:p>
            <w:pPr>
              <w:spacing w:after="0"/>
              <w:rPr>
                <w:sz w:val="19"/>
                <w:szCs w:val="19"/>
                <w:color w:val="auto"/>
              </w:rPr>
            </w:pPr>
          </w:p>
        </w:tc>
        <w:tc>
          <w:tcPr>
            <w:tcW w:w="1680" w:type="dxa"/>
            <w:vAlign w:val="bottom"/>
          </w:tcPr>
          <w:p>
            <w:pPr>
              <w:spacing w:after="0"/>
              <w:rPr>
                <w:sz w:val="19"/>
                <w:szCs w:val="19"/>
                <w:color w:val="auto"/>
              </w:rPr>
            </w:pPr>
          </w:p>
        </w:tc>
      </w:tr>
      <w:tr>
        <w:trPr>
          <w:trHeight w:val="230"/>
        </w:trPr>
        <w:tc>
          <w:tcPr>
            <w:tcW w:w="1700" w:type="dxa"/>
            <w:vAlign w:val="bottom"/>
          </w:tcPr>
          <w:p>
            <w:pPr>
              <w:spacing w:after="0"/>
              <w:rPr>
                <w:sz w:val="20"/>
                <w:szCs w:val="20"/>
                <w:color w:val="auto"/>
              </w:rPr>
            </w:pPr>
          </w:p>
        </w:tc>
        <w:tc>
          <w:tcPr>
            <w:tcW w:w="3640" w:type="dxa"/>
            <w:vAlign w:val="bottom"/>
          </w:tcPr>
          <w:p>
            <w:pPr>
              <w:spacing w:after="0"/>
              <w:rPr>
                <w:sz w:val="20"/>
                <w:szCs w:val="20"/>
                <w:color w:val="auto"/>
              </w:rPr>
            </w:pPr>
            <w:r>
              <w:rPr>
                <w:rFonts w:ascii="Arial" w:cs="Arial" w:eastAsia="Arial" w:hAnsi="Arial"/>
                <w:sz w:val="18"/>
                <w:szCs w:val="18"/>
                <w:color w:val="auto"/>
                <w:w w:val="94"/>
              </w:rPr>
              <w:t>Non-vested shares under restricted stock grants</w:t>
            </w:r>
          </w:p>
        </w:tc>
        <w:tc>
          <w:tcPr>
            <w:tcW w:w="2940" w:type="dxa"/>
            <w:vAlign w:val="bottom"/>
            <w:gridSpan w:val="2"/>
          </w:tcPr>
          <w:p>
            <w:pPr>
              <w:jc w:val="right"/>
              <w:ind w:right="2"/>
              <w:spacing w:after="0"/>
              <w:rPr>
                <w:sz w:val="20"/>
                <w:szCs w:val="20"/>
                <w:color w:val="auto"/>
              </w:rPr>
            </w:pPr>
            <w:r>
              <w:rPr>
                <w:rFonts w:ascii="Arial" w:cs="Arial" w:eastAsia="Arial" w:hAnsi="Arial"/>
                <w:sz w:val="18"/>
                <w:szCs w:val="18"/>
                <w:color w:val="auto"/>
              </w:rPr>
              <w:t>475,000</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2"/>
              </w:rPr>
              <w:t>1,148,859</w:t>
            </w:r>
          </w:p>
        </w:tc>
        <w:tc>
          <w:tcPr>
            <w:tcW w:w="80" w:type="dxa"/>
            <w:vAlign w:val="bottom"/>
          </w:tcPr>
          <w:p>
            <w:pPr>
              <w:spacing w:after="0"/>
              <w:rPr>
                <w:sz w:val="20"/>
                <w:szCs w:val="20"/>
                <w:color w:val="auto"/>
              </w:rPr>
            </w:pPr>
          </w:p>
        </w:tc>
        <w:tc>
          <w:tcPr>
            <w:tcW w:w="1680" w:type="dxa"/>
            <w:vAlign w:val="bottom"/>
          </w:tcPr>
          <w:p>
            <w:pPr>
              <w:spacing w:after="0"/>
              <w:rPr>
                <w:sz w:val="20"/>
                <w:szCs w:val="20"/>
                <w:color w:val="auto"/>
              </w:rPr>
            </w:pPr>
          </w:p>
        </w:tc>
      </w:tr>
      <w:tr>
        <w:trPr>
          <w:trHeight w:val="647"/>
        </w:trPr>
        <w:tc>
          <w:tcPr>
            <w:tcW w:w="170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1680" w:type="dxa"/>
            <w:vAlign w:val="bottom"/>
          </w:tcPr>
          <w:p>
            <w:pPr>
              <w:jc w:val="right"/>
              <w:ind w:right="1270"/>
              <w:spacing w:after="0"/>
              <w:rPr>
                <w:sz w:val="20"/>
                <w:szCs w:val="20"/>
                <w:color w:val="auto"/>
              </w:rPr>
            </w:pPr>
            <w:r>
              <w:rPr>
                <w:rFonts w:ascii="Arial" w:cs="Arial" w:eastAsia="Arial" w:hAnsi="Arial"/>
                <w:sz w:val="18"/>
                <w:szCs w:val="18"/>
                <w:color w:val="auto"/>
              </w:rPr>
              <w:t>7</w:t>
            </w: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80" w:type="dxa"/>
            <w:vAlign w:val="bottom"/>
          </w:tcPr>
          <w:p>
            <w:pPr>
              <w:spacing w:after="0"/>
              <w:rPr>
                <w:sz w:val="24"/>
                <w:szCs w:val="24"/>
                <w:color w:val="auto"/>
              </w:rPr>
            </w:pPr>
          </w:p>
        </w:tc>
      </w:tr>
      <w:tr>
        <w:trPr>
          <w:trHeight w:val="115"/>
        </w:trPr>
        <w:tc>
          <w:tcPr>
            <w:tcW w:w="1700" w:type="dxa"/>
            <w:vAlign w:val="bottom"/>
            <w:tcBorders>
              <w:bottom w:val="single" w:sz="8" w:color="9A9A9A"/>
            </w:tcBorders>
          </w:tcPr>
          <w:p>
            <w:pPr>
              <w:spacing w:after="0"/>
              <w:rPr>
                <w:sz w:val="10"/>
                <w:szCs w:val="10"/>
                <w:color w:val="auto"/>
              </w:rPr>
            </w:pPr>
          </w:p>
        </w:tc>
        <w:tc>
          <w:tcPr>
            <w:tcW w:w="3640" w:type="dxa"/>
            <w:vAlign w:val="bottom"/>
            <w:tcBorders>
              <w:bottom w:val="single" w:sz="8" w:color="9A9A9A"/>
            </w:tcBorders>
          </w:tcPr>
          <w:p>
            <w:pPr>
              <w:spacing w:after="0"/>
              <w:rPr>
                <w:sz w:val="10"/>
                <w:szCs w:val="10"/>
                <w:color w:val="auto"/>
              </w:rPr>
            </w:pPr>
          </w:p>
        </w:tc>
        <w:tc>
          <w:tcPr>
            <w:tcW w:w="1680" w:type="dxa"/>
            <w:vAlign w:val="bottom"/>
            <w:tcBorders>
              <w:bottom w:val="single" w:sz="8" w:color="9A9A9A"/>
            </w:tcBorders>
          </w:tcPr>
          <w:p>
            <w:pPr>
              <w:spacing w:after="0"/>
              <w:rPr>
                <w:sz w:val="10"/>
                <w:szCs w:val="10"/>
                <w:color w:val="auto"/>
              </w:rPr>
            </w:pPr>
          </w:p>
        </w:tc>
        <w:tc>
          <w:tcPr>
            <w:tcW w:w="12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78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168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i w:val="1"/>
          <w:iCs w:val="1"/>
          <w:color w:val="auto"/>
        </w:rPr>
        <w:t>Note 3—Investments in Marketable Securities</w:t>
      </w:r>
    </w:p>
    <w:p>
      <w:pPr>
        <w:spacing w:after="0" w:line="13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Investments in marketable securities consisted of the following as of June 30, 2021 and December 31, 2020 (in thousands):</w:t>
      </w:r>
    </w:p>
    <w:p>
      <w:pPr>
        <w:spacing w:after="0" w:line="298" w:lineRule="exact"/>
        <w:rPr>
          <w:sz w:val="20"/>
          <w:szCs w:val="20"/>
          <w:color w:val="auto"/>
        </w:rPr>
      </w:pPr>
    </w:p>
    <w:tbl>
      <w:tblPr>
        <w:tblLayout w:type="fixed"/>
        <w:tblInd w:w="580" w:type="dxa"/>
        <w:tblCellMar>
          <w:top w:w="0" w:type="dxa"/>
          <w:left w:w="0" w:type="dxa"/>
          <w:bottom w:w="0" w:type="dxa"/>
          <w:right w:w="0" w:type="dxa"/>
        </w:tblCellMar>
      </w:tblPr>
      <w:tr>
        <w:trPr>
          <w:trHeight w:val="171"/>
        </w:trPr>
        <w:tc>
          <w:tcPr>
            <w:tcW w:w="51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88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2"/>
              </w:rPr>
              <w:t>June 30, 2021</w:t>
            </w:r>
          </w:p>
        </w:tc>
        <w:tc>
          <w:tcPr>
            <w:tcW w:w="2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46"/>
        </w:trPr>
        <w:tc>
          <w:tcPr>
            <w:tcW w:w="5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center"/>
              <w:ind w:right="57"/>
              <w:spacing w:after="0" w:line="147" w:lineRule="exact"/>
              <w:rPr>
                <w:sz w:val="20"/>
                <w:szCs w:val="20"/>
                <w:color w:val="auto"/>
              </w:rPr>
            </w:pPr>
            <w:r>
              <w:rPr>
                <w:rFonts w:ascii="Arial" w:cs="Arial" w:eastAsia="Arial" w:hAnsi="Arial"/>
                <w:sz w:val="14"/>
                <w:szCs w:val="14"/>
                <w:b w:val="1"/>
                <w:bCs w:val="1"/>
                <w:color w:val="auto"/>
                <w:w w:val="96"/>
              </w:rPr>
              <w:t>Amortized</w:t>
            </w:r>
          </w:p>
        </w:tc>
        <w:tc>
          <w:tcPr>
            <w:tcW w:w="220" w:type="dxa"/>
            <w:vAlign w:val="bottom"/>
          </w:tcPr>
          <w:p>
            <w:pPr>
              <w:spacing w:after="0"/>
              <w:rPr>
                <w:sz w:val="12"/>
                <w:szCs w:val="12"/>
                <w:color w:val="auto"/>
              </w:rPr>
            </w:pPr>
          </w:p>
        </w:tc>
        <w:tc>
          <w:tcPr>
            <w:tcW w:w="1080" w:type="dxa"/>
            <w:vAlign w:val="bottom"/>
            <w:gridSpan w:val="2"/>
          </w:tcPr>
          <w:p>
            <w:pPr>
              <w:spacing w:after="0" w:line="147" w:lineRule="exact"/>
              <w:rPr>
                <w:sz w:val="20"/>
                <w:szCs w:val="20"/>
                <w:color w:val="auto"/>
              </w:rPr>
            </w:pPr>
            <w:r>
              <w:rPr>
                <w:rFonts w:ascii="Arial" w:cs="Arial" w:eastAsia="Arial" w:hAnsi="Arial"/>
                <w:sz w:val="14"/>
                <w:szCs w:val="14"/>
                <w:b w:val="1"/>
                <w:bCs w:val="1"/>
                <w:color w:val="auto"/>
                <w:w w:val="92"/>
              </w:rPr>
              <w:t>Gross Unrealized</w:t>
            </w:r>
          </w:p>
        </w:tc>
        <w:tc>
          <w:tcPr>
            <w:tcW w:w="220" w:type="dxa"/>
            <w:vAlign w:val="bottom"/>
          </w:tcPr>
          <w:p>
            <w:pPr>
              <w:spacing w:after="0"/>
              <w:rPr>
                <w:sz w:val="12"/>
                <w:szCs w:val="12"/>
                <w:color w:val="auto"/>
              </w:rPr>
            </w:pPr>
          </w:p>
        </w:tc>
        <w:tc>
          <w:tcPr>
            <w:tcW w:w="1300" w:type="dxa"/>
            <w:vAlign w:val="bottom"/>
            <w:gridSpan w:val="3"/>
          </w:tcPr>
          <w:p>
            <w:pPr>
              <w:spacing w:after="0" w:line="147" w:lineRule="exact"/>
              <w:rPr>
                <w:sz w:val="20"/>
                <w:szCs w:val="20"/>
                <w:color w:val="auto"/>
              </w:rPr>
            </w:pPr>
            <w:r>
              <w:rPr>
                <w:rFonts w:ascii="Arial" w:cs="Arial" w:eastAsia="Arial" w:hAnsi="Arial"/>
                <w:sz w:val="14"/>
                <w:szCs w:val="14"/>
                <w:b w:val="1"/>
                <w:bCs w:val="1"/>
                <w:color w:val="auto"/>
              </w:rPr>
              <w:t>Gross Unrealized</w:t>
            </w: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tcPr>
          <w:p>
            <w:pPr>
              <w:jc w:val="center"/>
              <w:ind w:right="137"/>
              <w:spacing w:after="0" w:line="147" w:lineRule="exact"/>
              <w:rPr>
                <w:sz w:val="20"/>
                <w:szCs w:val="20"/>
                <w:color w:val="auto"/>
              </w:rPr>
            </w:pPr>
            <w:r>
              <w:rPr>
                <w:rFonts w:ascii="Arial" w:cs="Arial" w:eastAsia="Arial" w:hAnsi="Arial"/>
                <w:sz w:val="14"/>
                <w:szCs w:val="14"/>
                <w:b w:val="1"/>
                <w:bCs w:val="1"/>
                <w:color w:val="auto"/>
              </w:rPr>
              <w:t>Fair</w:t>
            </w:r>
          </w:p>
        </w:tc>
        <w:tc>
          <w:tcPr>
            <w:tcW w:w="100" w:type="dxa"/>
            <w:vAlign w:val="bottom"/>
          </w:tcPr>
          <w:p>
            <w:pPr>
              <w:spacing w:after="0"/>
              <w:rPr>
                <w:sz w:val="12"/>
                <w:szCs w:val="12"/>
                <w:color w:val="auto"/>
              </w:rPr>
            </w:pPr>
          </w:p>
        </w:tc>
      </w:tr>
      <w:tr>
        <w:trPr>
          <w:trHeight w:val="171"/>
        </w:trPr>
        <w:tc>
          <w:tcPr>
            <w:tcW w:w="5140" w:type="dxa"/>
            <w:vAlign w:val="bottom"/>
            <w:tcBorders>
              <w:bottom w:val="single" w:sz="8" w:color="CFF0FC"/>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center"/>
              <w:ind w:right="77"/>
              <w:spacing w:after="0"/>
              <w:rPr>
                <w:sz w:val="20"/>
                <w:szCs w:val="20"/>
                <w:color w:val="auto"/>
              </w:rPr>
            </w:pPr>
            <w:r>
              <w:rPr>
                <w:rFonts w:ascii="Arial" w:cs="Arial" w:eastAsia="Arial" w:hAnsi="Arial"/>
                <w:sz w:val="14"/>
                <w:szCs w:val="14"/>
                <w:b w:val="1"/>
                <w:bCs w:val="1"/>
                <w:color w:val="auto"/>
                <w:w w:val="89"/>
              </w:rPr>
              <w:t>Cost</w:t>
            </w:r>
          </w:p>
        </w:tc>
        <w:tc>
          <w:tcPr>
            <w:tcW w:w="220" w:type="dxa"/>
            <w:vAlign w:val="bottom"/>
            <w:tcBorders>
              <w:bottom w:val="single" w:sz="8" w:color="CFF0FC"/>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277"/>
              <w:spacing w:after="0"/>
              <w:rPr>
                <w:sz w:val="20"/>
                <w:szCs w:val="20"/>
                <w:color w:val="auto"/>
              </w:rPr>
            </w:pPr>
            <w:r>
              <w:rPr>
                <w:rFonts w:ascii="Arial" w:cs="Arial" w:eastAsia="Arial" w:hAnsi="Arial"/>
                <w:sz w:val="14"/>
                <w:szCs w:val="14"/>
                <w:b w:val="1"/>
                <w:bCs w:val="1"/>
                <w:color w:val="auto"/>
              </w:rPr>
              <w:t>Gains</w:t>
            </w:r>
          </w:p>
        </w:tc>
        <w:tc>
          <w:tcPr>
            <w:tcW w:w="220" w:type="dxa"/>
            <w:vAlign w:val="bottom"/>
            <w:tcBorders>
              <w:bottom w:val="single" w:sz="8" w:color="CFF0FC"/>
            </w:tcBorders>
          </w:tcPr>
          <w:p>
            <w:pPr>
              <w:spacing w:after="0"/>
              <w:rPr>
                <w:sz w:val="14"/>
                <w:szCs w:val="14"/>
                <w:color w:val="auto"/>
              </w:rPr>
            </w:pPr>
          </w:p>
        </w:tc>
        <w:tc>
          <w:tcPr>
            <w:tcW w:w="800" w:type="dxa"/>
            <w:vAlign w:val="bottom"/>
            <w:tcBorders>
              <w:bottom w:val="single" w:sz="8" w:color="auto"/>
            </w:tcBorders>
          </w:tcPr>
          <w:p>
            <w:pPr>
              <w:ind w:left="340"/>
              <w:spacing w:after="0"/>
              <w:rPr>
                <w:sz w:val="20"/>
                <w:szCs w:val="20"/>
                <w:color w:val="auto"/>
              </w:rPr>
            </w:pPr>
            <w:r>
              <w:rPr>
                <w:rFonts w:ascii="Arial" w:cs="Arial" w:eastAsia="Arial" w:hAnsi="Arial"/>
                <w:sz w:val="14"/>
                <w:szCs w:val="14"/>
                <w:b w:val="1"/>
                <w:bCs w:val="1"/>
                <w:color w:val="auto"/>
                <w:w w:val="91"/>
              </w:rPr>
              <w:t>Losses</w:t>
            </w:r>
          </w:p>
        </w:tc>
        <w:tc>
          <w:tcPr>
            <w:tcW w:w="280" w:type="dxa"/>
            <w:vAlign w:val="bottom"/>
            <w:tcBorders>
              <w:bottom w:val="single" w:sz="8" w:color="auto"/>
            </w:tcBorders>
          </w:tcPr>
          <w:p>
            <w:pPr>
              <w:spacing w:after="0"/>
              <w:rPr>
                <w:sz w:val="14"/>
                <w:szCs w:val="14"/>
                <w:color w:val="auto"/>
              </w:rPr>
            </w:pPr>
          </w:p>
        </w:tc>
        <w:tc>
          <w:tcPr>
            <w:tcW w:w="220" w:type="dxa"/>
            <w:vAlign w:val="bottom"/>
            <w:tcBorders>
              <w:bottom w:val="single" w:sz="8" w:color="CFF0FC"/>
            </w:tcBorders>
          </w:tcPr>
          <w:p>
            <w:pPr>
              <w:spacing w:after="0"/>
              <w:rPr>
                <w:sz w:val="14"/>
                <w:szCs w:val="14"/>
                <w:color w:val="auto"/>
              </w:rPr>
            </w:pPr>
          </w:p>
        </w:tc>
        <w:tc>
          <w:tcPr>
            <w:tcW w:w="2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center"/>
              <w:ind w:right="137"/>
              <w:spacing w:after="0"/>
              <w:rPr>
                <w:sz w:val="20"/>
                <w:szCs w:val="20"/>
                <w:color w:val="auto"/>
              </w:rPr>
            </w:pPr>
            <w:r>
              <w:rPr>
                <w:rFonts w:ascii="Arial" w:cs="Arial" w:eastAsia="Arial" w:hAnsi="Arial"/>
                <w:sz w:val="14"/>
                <w:szCs w:val="14"/>
                <w:b w:val="1"/>
                <w:bCs w:val="1"/>
                <w:color w:val="auto"/>
                <w:w w:val="96"/>
              </w:rPr>
              <w:t>Value</w:t>
            </w:r>
          </w:p>
        </w:tc>
        <w:tc>
          <w:tcPr>
            <w:tcW w:w="100" w:type="dxa"/>
            <w:vAlign w:val="bottom"/>
            <w:tcBorders>
              <w:bottom w:val="single" w:sz="8" w:color="CFF0FC"/>
            </w:tcBorders>
          </w:tcPr>
          <w:p>
            <w:pPr>
              <w:spacing w:after="0"/>
              <w:rPr>
                <w:sz w:val="14"/>
                <w:szCs w:val="14"/>
                <w:color w:val="auto"/>
              </w:rPr>
            </w:pPr>
          </w:p>
        </w:tc>
      </w:tr>
      <w:tr>
        <w:trPr>
          <w:trHeight w:val="223"/>
        </w:trPr>
        <w:tc>
          <w:tcPr>
            <w:tcW w:w="5140" w:type="dxa"/>
            <w:vAlign w:val="bottom"/>
            <w:shd w:val="clear" w:color="auto" w:fill="CFF0FC"/>
          </w:tcPr>
          <w:p>
            <w:pPr>
              <w:spacing w:after="0"/>
              <w:rPr>
                <w:sz w:val="20"/>
                <w:szCs w:val="20"/>
                <w:color w:val="auto"/>
              </w:rPr>
            </w:pPr>
            <w:r>
              <w:rPr>
                <w:rFonts w:ascii="Arial" w:cs="Arial" w:eastAsia="Arial" w:hAnsi="Arial"/>
                <w:sz w:val="18"/>
                <w:szCs w:val="18"/>
                <w:color w:val="auto"/>
              </w:rPr>
              <w:t>U.S. Treasury securities</w:t>
            </w: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14,772</w:t>
            </w:r>
          </w:p>
        </w:tc>
        <w:tc>
          <w:tcPr>
            <w:tcW w:w="2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20"/>
                <w:szCs w:val="20"/>
                <w:color w:val="auto"/>
              </w:rPr>
            </w:pPr>
            <w:r>
              <w:rPr>
                <w:rFonts w:ascii="Arial" w:cs="Arial" w:eastAsia="Arial" w:hAnsi="Arial"/>
                <w:sz w:val="18"/>
                <w:szCs w:val="18"/>
                <w:color w:val="auto"/>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w:t>
            </w:r>
          </w:p>
        </w:tc>
        <w:tc>
          <w:tcPr>
            <w:tcW w:w="22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20"/>
                <w:szCs w:val="20"/>
                <w:color w:val="auto"/>
              </w:rPr>
            </w:pPr>
            <w:r>
              <w:rPr>
                <w:rFonts w:ascii="Arial" w:cs="Arial" w:eastAsia="Arial" w:hAnsi="Arial"/>
                <w:sz w:val="18"/>
                <w:szCs w:val="18"/>
                <w:color w:val="auto"/>
              </w:rPr>
              <w:t>$</w:t>
            </w:r>
          </w:p>
        </w:tc>
        <w:tc>
          <w:tcPr>
            <w:tcW w:w="50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(1)</w:t>
            </w: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jc w:val="right"/>
              <w:ind w:right="69"/>
              <w:spacing w:after="0"/>
              <w:rPr>
                <w:sz w:val="20"/>
                <w:szCs w:val="20"/>
                <w:color w:val="auto"/>
              </w:rPr>
            </w:pPr>
            <w:r>
              <w:rPr>
                <w:rFonts w:ascii="Arial" w:cs="Arial" w:eastAsia="Arial" w:hAnsi="Arial"/>
                <w:sz w:val="10"/>
                <w:szCs w:val="10"/>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14,772</w:t>
            </w:r>
          </w:p>
        </w:tc>
        <w:tc>
          <w:tcPr>
            <w:tcW w:w="100" w:type="dxa"/>
            <w:vAlign w:val="bottom"/>
            <w:shd w:val="clear" w:color="auto" w:fill="CFF0FC"/>
          </w:tcPr>
          <w:p>
            <w:pPr>
              <w:spacing w:after="0"/>
              <w:rPr>
                <w:sz w:val="19"/>
                <w:szCs w:val="19"/>
                <w:color w:val="auto"/>
              </w:rPr>
            </w:pPr>
          </w:p>
        </w:tc>
      </w:tr>
      <w:tr>
        <w:trPr>
          <w:trHeight w:val="230"/>
        </w:trPr>
        <w:tc>
          <w:tcPr>
            <w:tcW w:w="5140" w:type="dxa"/>
            <w:vAlign w:val="bottom"/>
          </w:tcPr>
          <w:p>
            <w:pPr>
              <w:spacing w:after="0"/>
              <w:rPr>
                <w:sz w:val="20"/>
                <w:szCs w:val="20"/>
                <w:color w:val="auto"/>
              </w:rPr>
            </w:pPr>
            <w:r>
              <w:rPr>
                <w:rFonts w:ascii="Arial" w:cs="Arial" w:eastAsia="Arial" w:hAnsi="Arial"/>
                <w:sz w:val="18"/>
                <w:szCs w:val="18"/>
                <w:color w:val="auto"/>
              </w:rPr>
              <w:t>Commercial paper</w:t>
            </w:r>
          </w:p>
        </w:tc>
        <w:tc>
          <w:tcPr>
            <w:tcW w:w="1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50,651</w:t>
            </w:r>
          </w:p>
        </w:tc>
        <w:tc>
          <w:tcPr>
            <w:tcW w:w="22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80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50,651</w:t>
            </w:r>
          </w:p>
        </w:tc>
        <w:tc>
          <w:tcPr>
            <w:tcW w:w="100" w:type="dxa"/>
            <w:vAlign w:val="bottom"/>
          </w:tcPr>
          <w:p>
            <w:pPr>
              <w:spacing w:after="0"/>
              <w:rPr>
                <w:sz w:val="19"/>
                <w:szCs w:val="19"/>
                <w:color w:val="auto"/>
              </w:rPr>
            </w:pPr>
          </w:p>
        </w:tc>
      </w:tr>
      <w:tr>
        <w:trPr>
          <w:trHeight w:val="223"/>
        </w:trPr>
        <w:tc>
          <w:tcPr>
            <w:tcW w:w="5140" w:type="dxa"/>
            <w:vAlign w:val="bottom"/>
          </w:tcPr>
          <w:p>
            <w:pPr>
              <w:spacing w:after="0"/>
              <w:rPr>
                <w:sz w:val="20"/>
                <w:szCs w:val="20"/>
                <w:color w:val="auto"/>
              </w:rPr>
            </w:pPr>
            <w:r>
              <w:rPr>
                <w:rFonts w:ascii="Arial" w:cs="Arial" w:eastAsia="Arial" w:hAnsi="Arial"/>
                <w:sz w:val="18"/>
                <w:szCs w:val="18"/>
                <w:color w:val="auto"/>
              </w:rPr>
              <w:t>Total marketable securities</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65,423</w:t>
            </w:r>
          </w:p>
        </w:tc>
        <w:tc>
          <w:tcPr>
            <w:tcW w:w="220" w:type="dxa"/>
            <w:vAlign w:val="bottom"/>
          </w:tcPr>
          <w:p>
            <w:pPr>
              <w:spacing w:after="0"/>
              <w:rPr>
                <w:sz w:val="19"/>
                <w:szCs w:val="19"/>
                <w:color w:val="auto"/>
              </w:rPr>
            </w:pP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w:t>
            </w:r>
          </w:p>
        </w:tc>
        <w:tc>
          <w:tcPr>
            <w:tcW w:w="220" w:type="dxa"/>
            <w:vAlign w:val="bottom"/>
          </w:tcPr>
          <w:p>
            <w:pPr>
              <w:spacing w:after="0"/>
              <w:rPr>
                <w:sz w:val="19"/>
                <w:szCs w:val="19"/>
                <w:color w:val="auto"/>
              </w:rPr>
            </w:pPr>
          </w:p>
        </w:tc>
        <w:tc>
          <w:tcPr>
            <w:tcW w:w="800" w:type="dxa"/>
            <w:vAlign w:val="bottom"/>
          </w:tcPr>
          <w:p>
            <w:pPr>
              <w:spacing w:after="0"/>
              <w:rPr>
                <w:sz w:val="20"/>
                <w:szCs w:val="20"/>
                <w:color w:val="auto"/>
              </w:rPr>
            </w:pPr>
            <w:r>
              <w:rPr>
                <w:rFonts w:ascii="Arial" w:cs="Arial" w:eastAsia="Arial" w:hAnsi="Arial"/>
                <w:sz w:val="18"/>
                <w:szCs w:val="18"/>
                <w:color w:val="auto"/>
              </w:rPr>
              <w:t>$</w:t>
            </w:r>
          </w:p>
        </w:tc>
        <w:tc>
          <w:tcPr>
            <w:tcW w:w="500" w:type="dxa"/>
            <w:vAlign w:val="bottom"/>
            <w:gridSpan w:val="2"/>
          </w:tcPr>
          <w:p>
            <w:pPr>
              <w:jc w:val="right"/>
              <w:ind w:right="160"/>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19"/>
                <w:szCs w:val="19"/>
                <w:color w:val="auto"/>
              </w:rPr>
            </w:pPr>
          </w:p>
        </w:tc>
        <w:tc>
          <w:tcPr>
            <w:tcW w:w="180" w:type="dxa"/>
            <w:vAlign w:val="bottom"/>
          </w:tcPr>
          <w:p>
            <w:pPr>
              <w:jc w:val="right"/>
              <w:ind w:right="69"/>
              <w:spacing w:after="0"/>
              <w:rPr>
                <w:sz w:val="20"/>
                <w:szCs w:val="20"/>
                <w:color w:val="auto"/>
              </w:rPr>
            </w:pPr>
            <w:r>
              <w:rPr>
                <w:rFonts w:ascii="Arial" w:cs="Arial" w:eastAsia="Arial" w:hAnsi="Arial"/>
                <w:sz w:val="10"/>
                <w:szCs w:val="10"/>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65,423</w:t>
            </w:r>
          </w:p>
        </w:tc>
        <w:tc>
          <w:tcPr>
            <w:tcW w:w="100" w:type="dxa"/>
            <w:vAlign w:val="bottom"/>
          </w:tcPr>
          <w:p>
            <w:pPr>
              <w:spacing w:after="0"/>
              <w:rPr>
                <w:sz w:val="19"/>
                <w:szCs w:val="19"/>
                <w:color w:val="auto"/>
              </w:rPr>
            </w:pPr>
          </w:p>
        </w:tc>
      </w:tr>
      <w:tr>
        <w:trPr>
          <w:trHeight w:val="20"/>
        </w:trPr>
        <w:tc>
          <w:tcPr>
            <w:tcW w:w="51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386"/>
        </w:trPr>
        <w:tc>
          <w:tcPr>
            <w:tcW w:w="514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88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1"/>
              </w:rPr>
              <w:t>December 31, 2020</w:t>
            </w:r>
          </w:p>
        </w:tc>
        <w:tc>
          <w:tcPr>
            <w:tcW w:w="2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146"/>
        </w:trPr>
        <w:tc>
          <w:tcPr>
            <w:tcW w:w="5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center"/>
              <w:ind w:right="57"/>
              <w:spacing w:after="0" w:line="147" w:lineRule="exact"/>
              <w:rPr>
                <w:sz w:val="20"/>
                <w:szCs w:val="20"/>
                <w:color w:val="auto"/>
              </w:rPr>
            </w:pPr>
            <w:r>
              <w:rPr>
                <w:rFonts w:ascii="Arial" w:cs="Arial" w:eastAsia="Arial" w:hAnsi="Arial"/>
                <w:sz w:val="14"/>
                <w:szCs w:val="14"/>
                <w:b w:val="1"/>
                <w:bCs w:val="1"/>
                <w:color w:val="auto"/>
                <w:w w:val="96"/>
              </w:rPr>
              <w:t>Amortized</w:t>
            </w:r>
          </w:p>
        </w:tc>
        <w:tc>
          <w:tcPr>
            <w:tcW w:w="220" w:type="dxa"/>
            <w:vAlign w:val="bottom"/>
          </w:tcPr>
          <w:p>
            <w:pPr>
              <w:spacing w:after="0"/>
              <w:rPr>
                <w:sz w:val="12"/>
                <w:szCs w:val="12"/>
                <w:color w:val="auto"/>
              </w:rPr>
            </w:pPr>
          </w:p>
        </w:tc>
        <w:tc>
          <w:tcPr>
            <w:tcW w:w="1080" w:type="dxa"/>
            <w:vAlign w:val="bottom"/>
            <w:gridSpan w:val="2"/>
          </w:tcPr>
          <w:p>
            <w:pPr>
              <w:spacing w:after="0" w:line="147" w:lineRule="exact"/>
              <w:rPr>
                <w:sz w:val="20"/>
                <w:szCs w:val="20"/>
                <w:color w:val="auto"/>
              </w:rPr>
            </w:pPr>
            <w:r>
              <w:rPr>
                <w:rFonts w:ascii="Arial" w:cs="Arial" w:eastAsia="Arial" w:hAnsi="Arial"/>
                <w:sz w:val="14"/>
                <w:szCs w:val="14"/>
                <w:b w:val="1"/>
                <w:bCs w:val="1"/>
                <w:color w:val="auto"/>
                <w:w w:val="92"/>
              </w:rPr>
              <w:t>Gross Unrealized</w:t>
            </w:r>
          </w:p>
        </w:tc>
        <w:tc>
          <w:tcPr>
            <w:tcW w:w="220" w:type="dxa"/>
            <w:vAlign w:val="bottom"/>
          </w:tcPr>
          <w:p>
            <w:pPr>
              <w:spacing w:after="0"/>
              <w:rPr>
                <w:sz w:val="12"/>
                <w:szCs w:val="12"/>
                <w:color w:val="auto"/>
              </w:rPr>
            </w:pPr>
          </w:p>
        </w:tc>
        <w:tc>
          <w:tcPr>
            <w:tcW w:w="1300" w:type="dxa"/>
            <w:vAlign w:val="bottom"/>
            <w:gridSpan w:val="3"/>
          </w:tcPr>
          <w:p>
            <w:pPr>
              <w:spacing w:after="0" w:line="147" w:lineRule="exact"/>
              <w:rPr>
                <w:sz w:val="20"/>
                <w:szCs w:val="20"/>
                <w:color w:val="auto"/>
              </w:rPr>
            </w:pPr>
            <w:r>
              <w:rPr>
                <w:rFonts w:ascii="Arial" w:cs="Arial" w:eastAsia="Arial" w:hAnsi="Arial"/>
                <w:sz w:val="14"/>
                <w:szCs w:val="14"/>
                <w:b w:val="1"/>
                <w:bCs w:val="1"/>
                <w:color w:val="auto"/>
              </w:rPr>
              <w:t>Gross Unrealized</w:t>
            </w: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tcPr>
          <w:p>
            <w:pPr>
              <w:jc w:val="center"/>
              <w:ind w:right="137"/>
              <w:spacing w:after="0" w:line="147" w:lineRule="exact"/>
              <w:rPr>
                <w:sz w:val="20"/>
                <w:szCs w:val="20"/>
                <w:color w:val="auto"/>
              </w:rPr>
            </w:pPr>
            <w:r>
              <w:rPr>
                <w:rFonts w:ascii="Arial" w:cs="Arial" w:eastAsia="Arial" w:hAnsi="Arial"/>
                <w:sz w:val="14"/>
                <w:szCs w:val="14"/>
                <w:b w:val="1"/>
                <w:bCs w:val="1"/>
                <w:color w:val="auto"/>
              </w:rPr>
              <w:t>Fair</w:t>
            </w:r>
          </w:p>
        </w:tc>
        <w:tc>
          <w:tcPr>
            <w:tcW w:w="100" w:type="dxa"/>
            <w:vAlign w:val="bottom"/>
          </w:tcPr>
          <w:p>
            <w:pPr>
              <w:spacing w:after="0"/>
              <w:rPr>
                <w:sz w:val="12"/>
                <w:szCs w:val="12"/>
                <w:color w:val="auto"/>
              </w:rPr>
            </w:pPr>
          </w:p>
        </w:tc>
      </w:tr>
      <w:tr>
        <w:trPr>
          <w:trHeight w:val="171"/>
        </w:trPr>
        <w:tc>
          <w:tcPr>
            <w:tcW w:w="5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80" w:type="dxa"/>
            <w:vAlign w:val="bottom"/>
          </w:tcPr>
          <w:p>
            <w:pPr>
              <w:jc w:val="center"/>
              <w:ind w:right="77"/>
              <w:spacing w:after="0"/>
              <w:rPr>
                <w:sz w:val="20"/>
                <w:szCs w:val="20"/>
                <w:color w:val="auto"/>
              </w:rPr>
            </w:pPr>
            <w:r>
              <w:rPr>
                <w:rFonts w:ascii="Arial" w:cs="Arial" w:eastAsia="Arial" w:hAnsi="Arial"/>
                <w:sz w:val="14"/>
                <w:szCs w:val="14"/>
                <w:b w:val="1"/>
                <w:bCs w:val="1"/>
                <w:color w:val="auto"/>
                <w:w w:val="89"/>
              </w:rPr>
              <w:t>Cost</w:t>
            </w: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60" w:type="dxa"/>
            <w:vAlign w:val="bottom"/>
          </w:tcPr>
          <w:p>
            <w:pPr>
              <w:jc w:val="right"/>
              <w:ind w:right="277"/>
              <w:spacing w:after="0"/>
              <w:rPr>
                <w:sz w:val="20"/>
                <w:szCs w:val="20"/>
                <w:color w:val="auto"/>
              </w:rPr>
            </w:pPr>
            <w:r>
              <w:rPr>
                <w:rFonts w:ascii="Arial" w:cs="Arial" w:eastAsia="Arial" w:hAnsi="Arial"/>
                <w:sz w:val="14"/>
                <w:szCs w:val="14"/>
                <w:b w:val="1"/>
                <w:bCs w:val="1"/>
                <w:color w:val="auto"/>
              </w:rPr>
              <w:t>Gains</w:t>
            </w:r>
          </w:p>
        </w:tc>
        <w:tc>
          <w:tcPr>
            <w:tcW w:w="220" w:type="dxa"/>
            <w:vAlign w:val="bottom"/>
          </w:tcPr>
          <w:p>
            <w:pPr>
              <w:spacing w:after="0"/>
              <w:rPr>
                <w:sz w:val="14"/>
                <w:szCs w:val="14"/>
                <w:color w:val="auto"/>
              </w:rPr>
            </w:pPr>
          </w:p>
        </w:tc>
        <w:tc>
          <w:tcPr>
            <w:tcW w:w="800" w:type="dxa"/>
            <w:vAlign w:val="bottom"/>
          </w:tcPr>
          <w:p>
            <w:pPr>
              <w:ind w:left="340"/>
              <w:spacing w:after="0"/>
              <w:rPr>
                <w:sz w:val="20"/>
                <w:szCs w:val="20"/>
                <w:color w:val="auto"/>
              </w:rPr>
            </w:pPr>
            <w:r>
              <w:rPr>
                <w:rFonts w:ascii="Arial" w:cs="Arial" w:eastAsia="Arial" w:hAnsi="Arial"/>
                <w:sz w:val="14"/>
                <w:szCs w:val="14"/>
                <w:b w:val="1"/>
                <w:bCs w:val="1"/>
                <w:color w:val="auto"/>
                <w:w w:val="91"/>
              </w:rPr>
              <w:t>Losses</w:t>
            </w: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6"/>
              </w:rPr>
              <w:t>Value</w:t>
            </w:r>
          </w:p>
        </w:tc>
      </w:tr>
      <w:tr>
        <w:trPr>
          <w:trHeight w:val="223"/>
        </w:trPr>
        <w:tc>
          <w:tcPr>
            <w:tcW w:w="51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U.S. Treasury securities</w:t>
            </w:r>
          </w:p>
        </w:tc>
        <w:tc>
          <w:tcPr>
            <w:tcW w:w="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11,607</w:t>
            </w:r>
          </w:p>
        </w:tc>
        <w:tc>
          <w:tcPr>
            <w:tcW w:w="22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w:t>
            </w:r>
          </w:p>
        </w:tc>
        <w:tc>
          <w:tcPr>
            <w:tcW w:w="220" w:type="dxa"/>
            <w:vAlign w:val="bottom"/>
            <w:tcBorders>
              <w:top w:val="single" w:sz="8" w:color="CFF0FC"/>
            </w:tcBorders>
            <w:shd w:val="clear" w:color="auto" w:fill="CFF0FC"/>
          </w:tcPr>
          <w:p>
            <w:pPr>
              <w:spacing w:after="0"/>
              <w:rPr>
                <w:sz w:val="19"/>
                <w:szCs w:val="19"/>
                <w:color w:val="auto"/>
              </w:rPr>
            </w:pPr>
          </w:p>
        </w:tc>
        <w:tc>
          <w:tcPr>
            <w:tcW w:w="8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2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ind w:right="69"/>
              <w:spacing w:after="0"/>
              <w:rPr>
                <w:sz w:val="20"/>
                <w:szCs w:val="20"/>
                <w:color w:val="auto"/>
              </w:rPr>
            </w:pPr>
            <w:r>
              <w:rPr>
                <w:rFonts w:ascii="Arial" w:cs="Arial" w:eastAsia="Arial" w:hAnsi="Arial"/>
                <w:sz w:val="10"/>
                <w:szCs w:val="10"/>
                <w:color w:val="auto"/>
                <w:w w:val="71"/>
              </w:rPr>
              <w:t>$</w:t>
            </w:r>
          </w:p>
        </w:tc>
        <w:tc>
          <w:tcPr>
            <w:tcW w:w="8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11,609</w:t>
            </w:r>
          </w:p>
        </w:tc>
        <w:tc>
          <w:tcPr>
            <w:tcW w:w="100" w:type="dxa"/>
            <w:vAlign w:val="bottom"/>
            <w:tcBorders>
              <w:top w:val="single" w:sz="8" w:color="CFF0FC"/>
            </w:tcBorders>
            <w:shd w:val="clear" w:color="auto" w:fill="CFF0FC"/>
          </w:tcPr>
          <w:p>
            <w:pPr>
              <w:spacing w:after="0"/>
              <w:rPr>
                <w:sz w:val="19"/>
                <w:szCs w:val="19"/>
                <w:color w:val="auto"/>
              </w:rPr>
            </w:pPr>
          </w:p>
        </w:tc>
      </w:tr>
      <w:tr>
        <w:trPr>
          <w:trHeight w:val="229"/>
        </w:trPr>
        <w:tc>
          <w:tcPr>
            <w:tcW w:w="5140" w:type="dxa"/>
            <w:vAlign w:val="bottom"/>
          </w:tcPr>
          <w:p>
            <w:pPr>
              <w:spacing w:after="0"/>
              <w:rPr>
                <w:sz w:val="20"/>
                <w:szCs w:val="20"/>
                <w:color w:val="auto"/>
              </w:rPr>
            </w:pPr>
            <w:r>
              <w:rPr>
                <w:rFonts w:ascii="Arial" w:cs="Arial" w:eastAsia="Arial" w:hAnsi="Arial"/>
                <w:sz w:val="18"/>
                <w:szCs w:val="18"/>
                <w:color w:val="auto"/>
              </w:rPr>
              <w:t>Commercial paper</w:t>
            </w:r>
          </w:p>
        </w:tc>
        <w:tc>
          <w:tcPr>
            <w:tcW w:w="1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41,674</w:t>
            </w: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500" w:type="dxa"/>
            <w:vAlign w:val="bottom"/>
            <w:gridSpan w:val="2"/>
          </w:tcPr>
          <w:p>
            <w:pPr>
              <w:jc w:val="right"/>
              <w:ind w:right="160"/>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41,673</w:t>
            </w:r>
          </w:p>
        </w:tc>
        <w:tc>
          <w:tcPr>
            <w:tcW w:w="100" w:type="dxa"/>
            <w:vAlign w:val="bottom"/>
          </w:tcPr>
          <w:p>
            <w:pPr>
              <w:spacing w:after="0"/>
              <w:rPr>
                <w:sz w:val="19"/>
                <w:szCs w:val="19"/>
                <w:color w:val="auto"/>
              </w:rPr>
            </w:pPr>
          </w:p>
        </w:tc>
      </w:tr>
      <w:tr>
        <w:trPr>
          <w:trHeight w:val="230"/>
        </w:trPr>
        <w:tc>
          <w:tcPr>
            <w:tcW w:w="5140" w:type="dxa"/>
            <w:vAlign w:val="bottom"/>
          </w:tcPr>
          <w:p>
            <w:pPr>
              <w:spacing w:after="0"/>
              <w:rPr>
                <w:sz w:val="20"/>
                <w:szCs w:val="20"/>
                <w:color w:val="auto"/>
              </w:rPr>
            </w:pPr>
            <w:r>
              <w:rPr>
                <w:rFonts w:ascii="Arial" w:cs="Arial" w:eastAsia="Arial" w:hAnsi="Arial"/>
                <w:sz w:val="18"/>
                <w:szCs w:val="18"/>
                <w:color w:val="auto"/>
              </w:rPr>
              <w:t>Asset-backed securities</w:t>
            </w:r>
          </w:p>
        </w:tc>
        <w:tc>
          <w:tcPr>
            <w:tcW w:w="1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1,502</w:t>
            </w:r>
          </w:p>
        </w:tc>
        <w:tc>
          <w:tcPr>
            <w:tcW w:w="22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800" w:type="dxa"/>
            <w:vAlign w:val="bottom"/>
            <w:tcBorders>
              <w:bottom w:val="single" w:sz="8" w:color="auto"/>
            </w:tcBorders>
          </w:tcPr>
          <w:p>
            <w:pPr>
              <w:spacing w:after="0"/>
              <w:rPr>
                <w:sz w:val="20"/>
                <w:szCs w:val="20"/>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1,502</w:t>
            </w:r>
          </w:p>
        </w:tc>
        <w:tc>
          <w:tcPr>
            <w:tcW w:w="100" w:type="dxa"/>
            <w:vAlign w:val="bottom"/>
          </w:tcPr>
          <w:p>
            <w:pPr>
              <w:spacing w:after="0"/>
              <w:rPr>
                <w:sz w:val="20"/>
                <w:szCs w:val="20"/>
                <w:color w:val="auto"/>
              </w:rPr>
            </w:pPr>
          </w:p>
        </w:tc>
      </w:tr>
      <w:tr>
        <w:trPr>
          <w:trHeight w:val="223"/>
        </w:trPr>
        <w:tc>
          <w:tcPr>
            <w:tcW w:w="5140" w:type="dxa"/>
            <w:vAlign w:val="bottom"/>
          </w:tcPr>
          <w:p>
            <w:pPr>
              <w:spacing w:after="0"/>
              <w:rPr>
                <w:sz w:val="20"/>
                <w:szCs w:val="20"/>
                <w:color w:val="auto"/>
              </w:rPr>
            </w:pPr>
            <w:r>
              <w:rPr>
                <w:rFonts w:ascii="Arial" w:cs="Arial" w:eastAsia="Arial" w:hAnsi="Arial"/>
                <w:sz w:val="18"/>
                <w:szCs w:val="18"/>
                <w:color w:val="auto"/>
              </w:rPr>
              <w:t>Total marketable securities</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54,783</w:t>
            </w:r>
          </w:p>
        </w:tc>
        <w:tc>
          <w:tcPr>
            <w:tcW w:w="220" w:type="dxa"/>
            <w:vAlign w:val="bottom"/>
          </w:tcPr>
          <w:p>
            <w:pPr>
              <w:spacing w:after="0"/>
              <w:rPr>
                <w:sz w:val="19"/>
                <w:szCs w:val="19"/>
                <w:color w:val="auto"/>
              </w:rPr>
            </w:pP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2</w:t>
            </w:r>
          </w:p>
        </w:tc>
        <w:tc>
          <w:tcPr>
            <w:tcW w:w="220" w:type="dxa"/>
            <w:vAlign w:val="bottom"/>
          </w:tcPr>
          <w:p>
            <w:pPr>
              <w:spacing w:after="0"/>
              <w:rPr>
                <w:sz w:val="19"/>
                <w:szCs w:val="19"/>
                <w:color w:val="auto"/>
              </w:rPr>
            </w:pPr>
          </w:p>
        </w:tc>
        <w:tc>
          <w:tcPr>
            <w:tcW w:w="800" w:type="dxa"/>
            <w:vAlign w:val="bottom"/>
          </w:tcPr>
          <w:p>
            <w:pPr>
              <w:spacing w:after="0"/>
              <w:rPr>
                <w:sz w:val="20"/>
                <w:szCs w:val="20"/>
                <w:color w:val="auto"/>
              </w:rPr>
            </w:pPr>
            <w:r>
              <w:rPr>
                <w:rFonts w:ascii="Arial" w:cs="Arial" w:eastAsia="Arial" w:hAnsi="Arial"/>
                <w:sz w:val="18"/>
                <w:szCs w:val="18"/>
                <w:color w:val="auto"/>
              </w:rPr>
              <w:t>$</w:t>
            </w:r>
          </w:p>
        </w:tc>
        <w:tc>
          <w:tcPr>
            <w:tcW w:w="500" w:type="dxa"/>
            <w:vAlign w:val="bottom"/>
            <w:gridSpan w:val="2"/>
          </w:tcPr>
          <w:p>
            <w:pPr>
              <w:jc w:val="right"/>
              <w:ind w:right="160"/>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19"/>
                <w:szCs w:val="19"/>
                <w:color w:val="auto"/>
              </w:rPr>
            </w:pPr>
          </w:p>
        </w:tc>
        <w:tc>
          <w:tcPr>
            <w:tcW w:w="180" w:type="dxa"/>
            <w:vAlign w:val="bottom"/>
          </w:tcPr>
          <w:p>
            <w:pPr>
              <w:jc w:val="right"/>
              <w:ind w:right="69"/>
              <w:spacing w:after="0"/>
              <w:rPr>
                <w:sz w:val="20"/>
                <w:szCs w:val="20"/>
                <w:color w:val="auto"/>
              </w:rPr>
            </w:pPr>
            <w:r>
              <w:rPr>
                <w:rFonts w:ascii="Arial" w:cs="Arial" w:eastAsia="Arial" w:hAnsi="Arial"/>
                <w:sz w:val="10"/>
                <w:szCs w:val="10"/>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54,784</w:t>
            </w:r>
          </w:p>
        </w:tc>
        <w:tc>
          <w:tcPr>
            <w:tcW w:w="100" w:type="dxa"/>
            <w:vAlign w:val="bottom"/>
          </w:tcPr>
          <w:p>
            <w:pPr>
              <w:spacing w:after="0"/>
              <w:rPr>
                <w:sz w:val="19"/>
                <w:szCs w:val="19"/>
                <w:color w:val="auto"/>
              </w:rPr>
            </w:pPr>
          </w:p>
        </w:tc>
      </w:tr>
      <w:tr>
        <w:trPr>
          <w:trHeight w:val="20"/>
        </w:trPr>
        <w:tc>
          <w:tcPr>
            <w:tcW w:w="51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firstLine="510"/>
        <w:spacing w:after="0" w:line="279" w:lineRule="auto"/>
        <w:rPr>
          <w:sz w:val="20"/>
          <w:szCs w:val="20"/>
          <w:color w:val="auto"/>
        </w:rPr>
      </w:pPr>
      <w:r>
        <w:rPr>
          <w:rFonts w:ascii="Arial" w:cs="Arial" w:eastAsia="Arial" w:hAnsi="Arial"/>
          <w:sz w:val="17"/>
          <w:szCs w:val="17"/>
          <w:color w:val="auto"/>
        </w:rPr>
        <w:t>Unrealized gains and losses on marketable securities are recorded as a separate component of accumulated other comprehensive gain included in stockholders’ equity. Realized gains (losses) are included in interest income (expense) in the statement of operations and comprehensive loss on a specific identification basis. There were no marketable securities with a maturity of greater than one year for either period presented. To date, the Company has not recorded any impairment charges on marketable securities related to other-than-temporary declines in market value.</w:t>
      </w:r>
    </w:p>
    <w:p>
      <w:pPr>
        <w:spacing w:after="0" w:line="171"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8"/>
          <w:szCs w:val="18"/>
          <w:color w:val="auto"/>
        </w:rPr>
        <w:t>Accretion of bond discount on marketable securities and interest income on marketable securities is recorded as interest income on the statement of operations and comprehensive loss.</w:t>
      </w:r>
    </w:p>
    <w:p>
      <w:pPr>
        <w:spacing w:after="0" w:line="211" w:lineRule="exact"/>
        <w:rPr>
          <w:sz w:val="20"/>
          <w:szCs w:val="20"/>
          <w:color w:val="auto"/>
        </w:rPr>
      </w:pPr>
    </w:p>
    <w:p>
      <w:pPr>
        <w:ind w:right="220" w:firstLine="578"/>
        <w:spacing w:after="0" w:line="342" w:lineRule="auto"/>
        <w:rPr>
          <w:sz w:val="20"/>
          <w:szCs w:val="20"/>
          <w:color w:val="auto"/>
        </w:rPr>
      </w:pPr>
      <w:r>
        <w:rPr>
          <w:rFonts w:ascii="Arial" w:cs="Arial" w:eastAsia="Arial" w:hAnsi="Arial"/>
          <w:sz w:val="16"/>
          <w:szCs w:val="16"/>
          <w:color w:val="auto"/>
        </w:rPr>
        <w:t>Fair value is the price that would be received to sell an asset or paid to transfer a liability in an orderly transaction between market participants at the measurement date. Financial assets and liabilities carried at fair value are classified and disclosed in one of the following three categories:</w:t>
      </w:r>
    </w:p>
    <w:p>
      <w:pPr>
        <w:spacing w:after="0" w:line="124" w:lineRule="exact"/>
        <w:rPr>
          <w:sz w:val="20"/>
          <w:szCs w:val="20"/>
          <w:color w:val="auto"/>
        </w:rPr>
      </w:pPr>
    </w:p>
    <w:p>
      <w:pPr>
        <w:ind w:left="580"/>
        <w:spacing w:after="0"/>
        <w:rPr>
          <w:sz w:val="20"/>
          <w:szCs w:val="20"/>
          <w:color w:val="auto"/>
        </w:rPr>
      </w:pPr>
      <w:r>
        <w:rPr>
          <w:rFonts w:ascii="Arial" w:cs="Arial" w:eastAsia="Arial" w:hAnsi="Arial"/>
          <w:sz w:val="18"/>
          <w:szCs w:val="18"/>
          <w:color w:val="auto"/>
        </w:rPr>
        <w:t>Level 1 — Quoted market prices in active markets for identical assets or liabilities.</w:t>
      </w:r>
    </w:p>
    <w:p>
      <w:pPr>
        <w:spacing w:after="0" w:line="225" w:lineRule="exact"/>
        <w:rPr>
          <w:sz w:val="20"/>
          <w:szCs w:val="20"/>
          <w:color w:val="auto"/>
        </w:rPr>
      </w:pPr>
    </w:p>
    <w:p>
      <w:pPr>
        <w:ind w:right="200" w:firstLine="578"/>
        <w:spacing w:after="0" w:line="342" w:lineRule="auto"/>
        <w:rPr>
          <w:sz w:val="20"/>
          <w:szCs w:val="20"/>
          <w:color w:val="auto"/>
        </w:rPr>
      </w:pPr>
      <w:r>
        <w:rPr>
          <w:rFonts w:ascii="Arial" w:cs="Arial" w:eastAsia="Arial" w:hAnsi="Arial"/>
          <w:sz w:val="16"/>
          <w:szCs w:val="16"/>
          <w:color w:val="auto"/>
        </w:rPr>
        <w:t>Level 2 — Observable inputs other than Level 1 prices, such as quoted prices for similar assets or liabilities; quoted prices in markets that are not active; or other inputs that are observable or can be corroborated by observable market data for substantially the full term of the assets or liabilities.</w:t>
      </w:r>
    </w:p>
    <w:p>
      <w:pPr>
        <w:spacing w:after="0" w:line="124" w:lineRule="exact"/>
        <w:rPr>
          <w:sz w:val="20"/>
          <w:szCs w:val="20"/>
          <w:color w:val="auto"/>
        </w:rPr>
      </w:pPr>
    </w:p>
    <w:p>
      <w:pPr>
        <w:ind w:left="580"/>
        <w:spacing w:after="0"/>
        <w:rPr>
          <w:sz w:val="20"/>
          <w:szCs w:val="20"/>
          <w:color w:val="auto"/>
        </w:rPr>
      </w:pPr>
      <w:r>
        <w:rPr>
          <w:rFonts w:ascii="Arial" w:cs="Arial" w:eastAsia="Arial" w:hAnsi="Arial"/>
          <w:sz w:val="16"/>
          <w:szCs w:val="16"/>
          <w:color w:val="auto"/>
        </w:rPr>
        <w:t>Level 3 — Unobservable inputs that are supported by little or no market activity and that are significant to the fair value of the assets or liabilities.</w:t>
      </w:r>
    </w:p>
    <w:p>
      <w:pPr>
        <w:spacing w:after="0" w:line="24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tables presents fair value of the Company’s marketable securities (in thousands):</w:t>
      </w:r>
    </w:p>
    <w:p>
      <w:pPr>
        <w:spacing w:after="0" w:line="29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80" w:type="dxa"/>
            <w:vAlign w:val="bottom"/>
          </w:tcPr>
          <w:p>
            <w:pPr>
              <w:spacing w:after="0"/>
              <w:rPr>
                <w:sz w:val="14"/>
                <w:szCs w:val="14"/>
                <w:color w:val="auto"/>
              </w:rPr>
            </w:pPr>
          </w:p>
        </w:tc>
        <w:tc>
          <w:tcPr>
            <w:tcW w:w="334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3760" w:type="dxa"/>
            <w:vAlign w:val="bottom"/>
            <w:tcBorders>
              <w:bottom w:val="single" w:sz="8" w:color="auto"/>
            </w:tcBorders>
            <w:gridSpan w:val="9"/>
          </w:tcPr>
          <w:p>
            <w:pPr>
              <w:jc w:val="right"/>
              <w:ind w:right="150"/>
              <w:spacing w:after="0"/>
              <w:rPr>
                <w:sz w:val="20"/>
                <w:szCs w:val="20"/>
                <w:color w:val="auto"/>
              </w:rPr>
            </w:pPr>
            <w:r>
              <w:rPr>
                <w:rFonts w:ascii="Arial" w:cs="Arial" w:eastAsia="Arial" w:hAnsi="Arial"/>
                <w:sz w:val="14"/>
                <w:szCs w:val="14"/>
                <w:b w:val="1"/>
                <w:bCs w:val="1"/>
                <w:color w:val="auto"/>
              </w:rPr>
              <w:t>Fair Value Measurement as of June 30, 2021</w:t>
            </w:r>
          </w:p>
        </w:tc>
        <w:tc>
          <w:tcPr>
            <w:tcW w:w="7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580" w:type="dxa"/>
            <w:vAlign w:val="bottom"/>
          </w:tcPr>
          <w:p>
            <w:pPr>
              <w:spacing w:after="0"/>
              <w:rPr>
                <w:sz w:val="13"/>
                <w:szCs w:val="13"/>
                <w:color w:val="auto"/>
              </w:rPr>
            </w:pPr>
          </w:p>
        </w:tc>
        <w:tc>
          <w:tcPr>
            <w:tcW w:w="3340" w:type="dxa"/>
            <w:vAlign w:val="bottom"/>
          </w:tcPr>
          <w:p>
            <w:pPr>
              <w:spacing w:after="0"/>
              <w:rPr>
                <w:sz w:val="13"/>
                <w:szCs w:val="13"/>
                <w:color w:val="auto"/>
              </w:rPr>
            </w:pPr>
          </w:p>
        </w:tc>
        <w:tc>
          <w:tcPr>
            <w:tcW w:w="18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jc w:val="right"/>
              <w:ind w:right="217"/>
              <w:spacing w:after="0" w:line="155" w:lineRule="exact"/>
              <w:rPr>
                <w:sz w:val="20"/>
                <w:szCs w:val="20"/>
                <w:color w:val="auto"/>
              </w:rPr>
            </w:pPr>
            <w:r>
              <w:rPr>
                <w:rFonts w:ascii="Arial" w:cs="Arial" w:eastAsia="Arial" w:hAnsi="Arial"/>
                <w:sz w:val="14"/>
                <w:szCs w:val="14"/>
                <w:b w:val="1"/>
                <w:bCs w:val="1"/>
                <w:color w:val="auto"/>
              </w:rPr>
              <w:t>Level 1</w:t>
            </w:r>
          </w:p>
        </w:tc>
        <w:tc>
          <w:tcPr>
            <w:tcW w:w="2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60" w:type="dxa"/>
            <w:vAlign w:val="bottom"/>
            <w:gridSpan w:val="2"/>
          </w:tcPr>
          <w:p>
            <w:pPr>
              <w:ind w:left="100"/>
              <w:spacing w:after="0" w:line="155" w:lineRule="exact"/>
              <w:rPr>
                <w:sz w:val="20"/>
                <w:szCs w:val="20"/>
                <w:color w:val="auto"/>
              </w:rPr>
            </w:pPr>
            <w:r>
              <w:rPr>
                <w:rFonts w:ascii="Arial" w:cs="Arial" w:eastAsia="Arial" w:hAnsi="Arial"/>
                <w:sz w:val="14"/>
                <w:szCs w:val="14"/>
                <w:b w:val="1"/>
                <w:bCs w:val="1"/>
                <w:color w:val="auto"/>
              </w:rPr>
              <w:t>Level 2</w:t>
            </w:r>
          </w:p>
        </w:tc>
        <w:tc>
          <w:tcPr>
            <w:tcW w:w="160" w:type="dxa"/>
            <w:vAlign w:val="bottom"/>
          </w:tcPr>
          <w:p>
            <w:pPr>
              <w:spacing w:after="0"/>
              <w:rPr>
                <w:sz w:val="13"/>
                <w:szCs w:val="13"/>
                <w:color w:val="auto"/>
              </w:rPr>
            </w:pPr>
          </w:p>
        </w:tc>
        <w:tc>
          <w:tcPr>
            <w:tcW w:w="760" w:type="dxa"/>
            <w:vAlign w:val="bottom"/>
          </w:tcPr>
          <w:p>
            <w:pPr>
              <w:ind w:left="80"/>
              <w:spacing w:after="0" w:line="155" w:lineRule="exact"/>
              <w:rPr>
                <w:sz w:val="20"/>
                <w:szCs w:val="20"/>
                <w:color w:val="auto"/>
              </w:rPr>
            </w:pPr>
            <w:r>
              <w:rPr>
                <w:rFonts w:ascii="Arial" w:cs="Arial" w:eastAsia="Arial" w:hAnsi="Arial"/>
                <w:sz w:val="14"/>
                <w:szCs w:val="14"/>
                <w:b w:val="1"/>
                <w:bCs w:val="1"/>
                <w:color w:val="auto"/>
              </w:rPr>
              <w:t>Level 3</w:t>
            </w:r>
          </w:p>
        </w:tc>
        <w:tc>
          <w:tcPr>
            <w:tcW w:w="2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60" w:type="dxa"/>
            <w:vAlign w:val="bottom"/>
          </w:tcPr>
          <w:p>
            <w:pPr>
              <w:jc w:val="right"/>
              <w:ind w:right="294"/>
              <w:spacing w:after="0" w:line="155" w:lineRule="exact"/>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33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Assets</w:t>
            </w:r>
          </w:p>
        </w:tc>
        <w:tc>
          <w:tcPr>
            <w:tcW w:w="18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84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84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76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76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80" w:type="dxa"/>
            <w:vAlign w:val="bottom"/>
          </w:tcPr>
          <w:p>
            <w:pPr>
              <w:spacing w:after="0"/>
              <w:rPr>
                <w:sz w:val="19"/>
                <w:szCs w:val="19"/>
                <w:color w:val="auto"/>
              </w:rPr>
            </w:pPr>
          </w:p>
        </w:tc>
        <w:tc>
          <w:tcPr>
            <w:tcW w:w="3340" w:type="dxa"/>
            <w:vAlign w:val="bottom"/>
          </w:tcPr>
          <w:p>
            <w:pPr>
              <w:spacing w:after="0"/>
              <w:rPr>
                <w:sz w:val="20"/>
                <w:szCs w:val="20"/>
                <w:color w:val="auto"/>
              </w:rPr>
            </w:pPr>
            <w:r>
              <w:rPr>
                <w:rFonts w:ascii="Arial" w:cs="Arial" w:eastAsia="Arial" w:hAnsi="Arial"/>
                <w:sz w:val="18"/>
                <w:szCs w:val="18"/>
                <w:color w:val="auto"/>
              </w:rPr>
              <w:t>U.S. treasury securities</w:t>
            </w:r>
          </w:p>
        </w:tc>
        <w:tc>
          <w:tcPr>
            <w:tcW w:w="2140" w:type="dxa"/>
            <w:vAlign w:val="bottom"/>
            <w:gridSpan w:val="3"/>
          </w:tcPr>
          <w:p>
            <w:pPr>
              <w:jc w:val="right"/>
              <w:ind w:right="10"/>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14,772</w:t>
            </w:r>
          </w:p>
        </w:tc>
        <w:tc>
          <w:tcPr>
            <w:tcW w:w="42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Pr>
          <w:p>
            <w:pPr>
              <w:jc w:val="right"/>
              <w:ind w:right="7"/>
              <w:spacing w:after="0"/>
              <w:rPr>
                <w:sz w:val="20"/>
                <w:szCs w:val="20"/>
                <w:color w:val="auto"/>
              </w:rPr>
            </w:pPr>
            <w:r>
              <w:rPr>
                <w:rFonts w:ascii="Arial" w:cs="Arial" w:eastAsia="Arial" w:hAnsi="Arial"/>
                <w:sz w:val="15"/>
                <w:szCs w:val="15"/>
                <w:color w:val="auto"/>
                <w:w w:val="71"/>
              </w:rPr>
              <w:t>$</w:t>
            </w:r>
          </w:p>
        </w:tc>
        <w:tc>
          <w:tcPr>
            <w:tcW w:w="760" w:type="dxa"/>
            <w:vAlign w:val="bottom"/>
          </w:tcPr>
          <w:p>
            <w:pPr>
              <w:ind w:left="580"/>
              <w:spacing w:after="0"/>
              <w:rPr>
                <w:sz w:val="20"/>
                <w:szCs w:val="20"/>
                <w:color w:val="auto"/>
              </w:rPr>
            </w:pPr>
            <w:r>
              <w:rPr>
                <w:rFonts w:ascii="Arial" w:cs="Arial" w:eastAsia="Arial" w:hAnsi="Arial"/>
                <w:sz w:val="18"/>
                <w:szCs w:val="18"/>
                <w:color w:val="auto"/>
                <w:w w:val="88"/>
              </w:rPr>
              <w:t>—</w:t>
            </w:r>
          </w:p>
        </w:tc>
        <w:tc>
          <w:tcPr>
            <w:tcW w:w="52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14,772</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3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Commercial paper</w:t>
            </w:r>
          </w:p>
        </w:tc>
        <w:tc>
          <w:tcPr>
            <w:tcW w:w="1820" w:type="dxa"/>
            <w:vAlign w:val="bottom"/>
            <w:tcBorders>
              <w:bottom w:val="single" w:sz="8" w:color="CFF0FC"/>
            </w:tcBorders>
            <w:shd w:val="clear" w:color="auto" w:fill="CFF0FC"/>
          </w:tcPr>
          <w:p>
            <w:pPr>
              <w:spacing w:after="0"/>
              <w:rPr>
                <w:sz w:val="19"/>
                <w:szCs w:val="19"/>
                <w:color w:val="auto"/>
              </w:rPr>
            </w:pPr>
          </w:p>
        </w:tc>
        <w:tc>
          <w:tcPr>
            <w:tcW w:w="12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50,651</w:t>
            </w:r>
          </w:p>
        </w:tc>
        <w:tc>
          <w:tcPr>
            <w:tcW w:w="220" w:type="dxa"/>
            <w:vAlign w:val="bottom"/>
            <w:tcBorders>
              <w:bottom w:val="single" w:sz="8" w:color="CFF0FC"/>
            </w:tcBorders>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760" w:type="dxa"/>
            <w:vAlign w:val="bottom"/>
            <w:tcBorders>
              <w:bottom w:val="single" w:sz="8" w:color="auto"/>
            </w:tcBorders>
            <w:shd w:val="clear" w:color="auto" w:fill="CFF0FC"/>
          </w:tcPr>
          <w:p>
            <w:pPr>
              <w:ind w:left="580"/>
              <w:spacing w:after="0"/>
              <w:rPr>
                <w:sz w:val="20"/>
                <w:szCs w:val="20"/>
                <w:color w:val="auto"/>
              </w:rPr>
            </w:pPr>
            <w:r>
              <w:rPr>
                <w:rFonts w:ascii="Arial" w:cs="Arial" w:eastAsia="Arial" w:hAnsi="Arial"/>
                <w:sz w:val="18"/>
                <w:szCs w:val="18"/>
                <w:color w:val="auto"/>
                <w:w w:val="88"/>
              </w:rPr>
              <w:t>—</w:t>
            </w:r>
          </w:p>
        </w:tc>
        <w:tc>
          <w:tcPr>
            <w:tcW w:w="220" w:type="dxa"/>
            <w:vAlign w:val="bottom"/>
            <w:tcBorders>
              <w:bottom w:val="single" w:sz="8" w:color="CFF0FC"/>
            </w:tcBorders>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50,651</w:t>
            </w:r>
          </w:p>
        </w:tc>
        <w:tc>
          <w:tcPr>
            <w:tcW w:w="100" w:type="dxa"/>
            <w:vAlign w:val="bottom"/>
            <w:tcBorders>
              <w:bottom w:val="single" w:sz="8" w:color="CFF0FC"/>
            </w:tcBorders>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33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assets</w:t>
            </w:r>
          </w:p>
        </w:tc>
        <w:tc>
          <w:tcPr>
            <w:tcW w:w="1820" w:type="dxa"/>
            <w:vAlign w:val="bottom"/>
            <w:tcBorders>
              <w:bottom w:val="single" w:sz="8" w:color="CFF0FC"/>
            </w:tcBorders>
            <w:shd w:val="clear" w:color="auto" w:fill="CFF0FC"/>
          </w:tcPr>
          <w:p>
            <w:pPr>
              <w:spacing w:after="0"/>
              <w:rPr>
                <w:sz w:val="19"/>
                <w:szCs w:val="19"/>
                <w:color w:val="auto"/>
              </w:rPr>
            </w:pPr>
          </w:p>
        </w:tc>
        <w:tc>
          <w:tcPr>
            <w:tcW w:w="12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14,772</w:t>
            </w:r>
          </w:p>
        </w:tc>
        <w:tc>
          <w:tcPr>
            <w:tcW w:w="22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50,651</w:t>
            </w:r>
          </w:p>
        </w:tc>
        <w:tc>
          <w:tcPr>
            <w:tcW w:w="220" w:type="dxa"/>
            <w:vAlign w:val="bottom"/>
            <w:tcBorders>
              <w:bottom w:val="single" w:sz="8" w:color="CFF0FC"/>
            </w:tcBorders>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jc w:val="right"/>
              <w:ind w:right="7"/>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shd w:val="clear" w:color="auto" w:fill="CFF0FC"/>
          </w:tcPr>
          <w:p>
            <w:pPr>
              <w:ind w:left="580"/>
              <w:spacing w:after="0"/>
              <w:rPr>
                <w:sz w:val="20"/>
                <w:szCs w:val="20"/>
                <w:color w:val="auto"/>
              </w:rPr>
            </w:pPr>
            <w:r>
              <w:rPr>
                <w:rFonts w:ascii="Arial" w:cs="Arial" w:eastAsia="Arial" w:hAnsi="Arial"/>
                <w:sz w:val="18"/>
                <w:szCs w:val="18"/>
                <w:color w:val="auto"/>
                <w:w w:val="88"/>
              </w:rPr>
              <w:t>—</w:t>
            </w:r>
          </w:p>
        </w:tc>
        <w:tc>
          <w:tcPr>
            <w:tcW w:w="220" w:type="dxa"/>
            <w:vAlign w:val="bottom"/>
            <w:tcBorders>
              <w:bottom w:val="single" w:sz="8" w:color="CFF0FC"/>
            </w:tcBorders>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65,423</w:t>
            </w:r>
          </w:p>
        </w:tc>
        <w:tc>
          <w:tcPr>
            <w:tcW w:w="100" w:type="dxa"/>
            <w:vAlign w:val="bottom"/>
            <w:tcBorders>
              <w:bottom w:val="single" w:sz="8" w:color="CFF0FC"/>
            </w:tcBorders>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40" w:type="dxa"/>
            <w:vAlign w:val="bottom"/>
            <w:tcBorders>
              <w:bottom w:val="single" w:sz="8" w:color="auto"/>
            </w:tcBorders>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tcBorders>
              <w:bottom w:val="single" w:sz="8" w:color="auto"/>
            </w:tcBorders>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5"/>
        </w:trPr>
        <w:tc>
          <w:tcPr>
            <w:tcW w:w="58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3760" w:type="dxa"/>
            <w:vAlign w:val="bottom"/>
            <w:tcBorders>
              <w:bottom w:val="single" w:sz="8" w:color="auto"/>
            </w:tcBorders>
            <w:gridSpan w:val="9"/>
          </w:tcPr>
          <w:p>
            <w:pPr>
              <w:jc w:val="right"/>
              <w:spacing w:after="0"/>
              <w:rPr>
                <w:sz w:val="20"/>
                <w:szCs w:val="20"/>
                <w:color w:val="auto"/>
              </w:rPr>
            </w:pPr>
            <w:r>
              <w:rPr>
                <w:rFonts w:ascii="Arial" w:cs="Arial" w:eastAsia="Arial" w:hAnsi="Arial"/>
                <w:sz w:val="14"/>
                <w:szCs w:val="14"/>
                <w:b w:val="1"/>
                <w:bCs w:val="1"/>
                <w:color w:val="auto"/>
              </w:rPr>
              <w:t>Fair Value Measurement as of December 31, 2020</w:t>
            </w:r>
          </w:p>
        </w:tc>
        <w:tc>
          <w:tcPr>
            <w:tcW w:w="7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580" w:type="dxa"/>
            <w:vAlign w:val="bottom"/>
          </w:tcPr>
          <w:p>
            <w:pPr>
              <w:spacing w:after="0"/>
              <w:rPr>
                <w:sz w:val="13"/>
                <w:szCs w:val="13"/>
                <w:color w:val="auto"/>
              </w:rPr>
            </w:pPr>
          </w:p>
        </w:tc>
        <w:tc>
          <w:tcPr>
            <w:tcW w:w="3340" w:type="dxa"/>
            <w:vAlign w:val="bottom"/>
          </w:tcPr>
          <w:p>
            <w:pPr>
              <w:spacing w:after="0"/>
              <w:rPr>
                <w:sz w:val="13"/>
                <w:szCs w:val="13"/>
                <w:color w:val="auto"/>
              </w:rPr>
            </w:pPr>
          </w:p>
        </w:tc>
        <w:tc>
          <w:tcPr>
            <w:tcW w:w="18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jc w:val="right"/>
              <w:ind w:right="217"/>
              <w:spacing w:after="0" w:line="155" w:lineRule="exact"/>
              <w:rPr>
                <w:sz w:val="20"/>
                <w:szCs w:val="20"/>
                <w:color w:val="auto"/>
              </w:rPr>
            </w:pPr>
            <w:r>
              <w:rPr>
                <w:rFonts w:ascii="Arial" w:cs="Arial" w:eastAsia="Arial" w:hAnsi="Arial"/>
                <w:sz w:val="14"/>
                <w:szCs w:val="14"/>
                <w:b w:val="1"/>
                <w:bCs w:val="1"/>
                <w:color w:val="auto"/>
              </w:rPr>
              <w:t>Level 1</w:t>
            </w:r>
          </w:p>
        </w:tc>
        <w:tc>
          <w:tcPr>
            <w:tcW w:w="2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60" w:type="dxa"/>
            <w:vAlign w:val="bottom"/>
            <w:gridSpan w:val="2"/>
          </w:tcPr>
          <w:p>
            <w:pPr>
              <w:ind w:left="100"/>
              <w:spacing w:after="0" w:line="155" w:lineRule="exact"/>
              <w:rPr>
                <w:sz w:val="20"/>
                <w:szCs w:val="20"/>
                <w:color w:val="auto"/>
              </w:rPr>
            </w:pPr>
            <w:r>
              <w:rPr>
                <w:rFonts w:ascii="Arial" w:cs="Arial" w:eastAsia="Arial" w:hAnsi="Arial"/>
                <w:sz w:val="14"/>
                <w:szCs w:val="14"/>
                <w:b w:val="1"/>
                <w:bCs w:val="1"/>
                <w:color w:val="auto"/>
              </w:rPr>
              <w:t>Level 2</w:t>
            </w:r>
          </w:p>
        </w:tc>
        <w:tc>
          <w:tcPr>
            <w:tcW w:w="160" w:type="dxa"/>
            <w:vAlign w:val="bottom"/>
          </w:tcPr>
          <w:p>
            <w:pPr>
              <w:spacing w:after="0"/>
              <w:rPr>
                <w:sz w:val="13"/>
                <w:szCs w:val="13"/>
                <w:color w:val="auto"/>
              </w:rPr>
            </w:pPr>
          </w:p>
        </w:tc>
        <w:tc>
          <w:tcPr>
            <w:tcW w:w="760" w:type="dxa"/>
            <w:vAlign w:val="bottom"/>
          </w:tcPr>
          <w:p>
            <w:pPr>
              <w:ind w:left="80"/>
              <w:spacing w:after="0" w:line="155" w:lineRule="exact"/>
              <w:rPr>
                <w:sz w:val="20"/>
                <w:szCs w:val="20"/>
                <w:color w:val="auto"/>
              </w:rPr>
            </w:pPr>
            <w:r>
              <w:rPr>
                <w:rFonts w:ascii="Arial" w:cs="Arial" w:eastAsia="Arial" w:hAnsi="Arial"/>
                <w:sz w:val="14"/>
                <w:szCs w:val="14"/>
                <w:b w:val="1"/>
                <w:bCs w:val="1"/>
                <w:color w:val="auto"/>
              </w:rPr>
              <w:t>Level 3</w:t>
            </w:r>
          </w:p>
        </w:tc>
        <w:tc>
          <w:tcPr>
            <w:tcW w:w="2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60" w:type="dxa"/>
            <w:vAlign w:val="bottom"/>
          </w:tcPr>
          <w:p>
            <w:pPr>
              <w:jc w:val="right"/>
              <w:ind w:right="294"/>
              <w:spacing w:after="0" w:line="155" w:lineRule="exact"/>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33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Assets</w:t>
            </w:r>
          </w:p>
        </w:tc>
        <w:tc>
          <w:tcPr>
            <w:tcW w:w="18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84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84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76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76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80" w:type="dxa"/>
            <w:vAlign w:val="bottom"/>
          </w:tcPr>
          <w:p>
            <w:pPr>
              <w:spacing w:after="0"/>
              <w:rPr>
                <w:sz w:val="19"/>
                <w:szCs w:val="19"/>
                <w:color w:val="auto"/>
              </w:rPr>
            </w:pPr>
          </w:p>
        </w:tc>
        <w:tc>
          <w:tcPr>
            <w:tcW w:w="3340" w:type="dxa"/>
            <w:vAlign w:val="bottom"/>
          </w:tcPr>
          <w:p>
            <w:pPr>
              <w:spacing w:after="0"/>
              <w:rPr>
                <w:sz w:val="20"/>
                <w:szCs w:val="20"/>
                <w:color w:val="auto"/>
              </w:rPr>
            </w:pPr>
            <w:r>
              <w:rPr>
                <w:rFonts w:ascii="Arial" w:cs="Arial" w:eastAsia="Arial" w:hAnsi="Arial"/>
                <w:sz w:val="18"/>
                <w:szCs w:val="18"/>
                <w:color w:val="auto"/>
              </w:rPr>
              <w:t>U.S. treasury securities</w:t>
            </w:r>
          </w:p>
        </w:tc>
        <w:tc>
          <w:tcPr>
            <w:tcW w:w="2140" w:type="dxa"/>
            <w:vAlign w:val="bottom"/>
            <w:gridSpan w:val="3"/>
          </w:tcPr>
          <w:p>
            <w:pPr>
              <w:jc w:val="right"/>
              <w:ind w:right="10"/>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11,609</w:t>
            </w:r>
          </w:p>
        </w:tc>
        <w:tc>
          <w:tcPr>
            <w:tcW w:w="42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Pr>
          <w:p>
            <w:pPr>
              <w:jc w:val="right"/>
              <w:ind w:right="7"/>
              <w:spacing w:after="0"/>
              <w:rPr>
                <w:sz w:val="20"/>
                <w:szCs w:val="20"/>
                <w:color w:val="auto"/>
              </w:rPr>
            </w:pPr>
            <w:r>
              <w:rPr>
                <w:rFonts w:ascii="Arial" w:cs="Arial" w:eastAsia="Arial" w:hAnsi="Arial"/>
                <w:sz w:val="15"/>
                <w:szCs w:val="15"/>
                <w:color w:val="auto"/>
                <w:w w:val="71"/>
              </w:rPr>
              <w:t>$</w:t>
            </w:r>
          </w:p>
        </w:tc>
        <w:tc>
          <w:tcPr>
            <w:tcW w:w="760" w:type="dxa"/>
            <w:vAlign w:val="bottom"/>
          </w:tcPr>
          <w:p>
            <w:pPr>
              <w:ind w:left="580"/>
              <w:spacing w:after="0"/>
              <w:rPr>
                <w:sz w:val="20"/>
                <w:szCs w:val="20"/>
                <w:color w:val="auto"/>
              </w:rPr>
            </w:pPr>
            <w:r>
              <w:rPr>
                <w:rFonts w:ascii="Arial" w:cs="Arial" w:eastAsia="Arial" w:hAnsi="Arial"/>
                <w:sz w:val="18"/>
                <w:szCs w:val="18"/>
                <w:color w:val="auto"/>
                <w:w w:val="88"/>
              </w:rPr>
              <w:t>—</w:t>
            </w:r>
          </w:p>
        </w:tc>
        <w:tc>
          <w:tcPr>
            <w:tcW w:w="52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11,609</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340" w:type="dxa"/>
            <w:vAlign w:val="bottom"/>
            <w:shd w:val="clear" w:color="auto" w:fill="CFF0FC"/>
          </w:tcPr>
          <w:p>
            <w:pPr>
              <w:spacing w:after="0"/>
              <w:rPr>
                <w:sz w:val="20"/>
                <w:szCs w:val="20"/>
                <w:color w:val="auto"/>
              </w:rPr>
            </w:pPr>
            <w:r>
              <w:rPr>
                <w:rFonts w:ascii="Arial" w:cs="Arial" w:eastAsia="Arial" w:hAnsi="Arial"/>
                <w:sz w:val="18"/>
                <w:szCs w:val="18"/>
                <w:color w:val="auto"/>
              </w:rPr>
              <w:t>Commercial paper</w:t>
            </w:r>
          </w:p>
        </w:tc>
        <w:tc>
          <w:tcPr>
            <w:tcW w:w="18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41,673</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60" w:type="dxa"/>
            <w:vAlign w:val="bottom"/>
            <w:shd w:val="clear" w:color="auto" w:fill="CFF0FC"/>
          </w:tcPr>
          <w:p>
            <w:pPr>
              <w:ind w:left="580"/>
              <w:spacing w:after="0"/>
              <w:rPr>
                <w:sz w:val="20"/>
                <w:szCs w:val="20"/>
                <w:color w:val="auto"/>
              </w:rPr>
            </w:pPr>
            <w:r>
              <w:rPr>
                <w:rFonts w:ascii="Arial" w:cs="Arial" w:eastAsia="Arial" w:hAnsi="Arial"/>
                <w:sz w:val="18"/>
                <w:szCs w:val="18"/>
                <w:color w:val="auto"/>
                <w:w w:val="88"/>
              </w:rPr>
              <w:t>—</w:t>
            </w:r>
          </w:p>
        </w:tc>
        <w:tc>
          <w:tcPr>
            <w:tcW w:w="2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41,673</w:t>
            </w:r>
          </w:p>
        </w:tc>
        <w:tc>
          <w:tcPr>
            <w:tcW w:w="100" w:type="dxa"/>
            <w:vAlign w:val="bottom"/>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33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Asset-backed securities</w:t>
            </w:r>
          </w:p>
        </w:tc>
        <w:tc>
          <w:tcPr>
            <w:tcW w:w="182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1,502</w:t>
            </w:r>
          </w:p>
        </w:tc>
        <w:tc>
          <w:tcPr>
            <w:tcW w:w="22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ind w:left="580"/>
              <w:spacing w:after="0"/>
              <w:rPr>
                <w:sz w:val="20"/>
                <w:szCs w:val="20"/>
                <w:color w:val="auto"/>
              </w:rPr>
            </w:pPr>
            <w:r>
              <w:rPr>
                <w:rFonts w:ascii="Arial" w:cs="Arial" w:eastAsia="Arial" w:hAnsi="Arial"/>
                <w:sz w:val="18"/>
                <w:szCs w:val="18"/>
                <w:color w:val="auto"/>
                <w:w w:val="88"/>
              </w:rPr>
              <w:t>—</w:t>
            </w:r>
          </w:p>
        </w:tc>
        <w:tc>
          <w:tcPr>
            <w:tcW w:w="22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1,502</w:t>
            </w:r>
          </w:p>
        </w:tc>
        <w:tc>
          <w:tcPr>
            <w:tcW w:w="100" w:type="dxa"/>
            <w:vAlign w:val="bottom"/>
            <w:tcBorders>
              <w:bottom w:val="single" w:sz="8" w:color="CFF0FC"/>
            </w:tcBorders>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33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assets</w:t>
            </w:r>
          </w:p>
        </w:tc>
        <w:tc>
          <w:tcPr>
            <w:tcW w:w="1940" w:type="dxa"/>
            <w:vAlign w:val="bottom"/>
            <w:tcBorders>
              <w:bottom w:val="single" w:sz="8" w:color="CFF0FC"/>
            </w:tcBorders>
            <w:gridSpan w:val="2"/>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11,609</w:t>
            </w:r>
          </w:p>
        </w:tc>
        <w:tc>
          <w:tcPr>
            <w:tcW w:w="22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43,175</w:t>
            </w:r>
          </w:p>
        </w:tc>
        <w:tc>
          <w:tcPr>
            <w:tcW w:w="220" w:type="dxa"/>
            <w:vAlign w:val="bottom"/>
            <w:tcBorders>
              <w:bottom w:val="single" w:sz="8" w:color="CFF0FC"/>
            </w:tcBorders>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jc w:val="right"/>
              <w:ind w:right="7"/>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shd w:val="clear" w:color="auto" w:fill="CFF0FC"/>
          </w:tcPr>
          <w:p>
            <w:pPr>
              <w:ind w:left="580"/>
              <w:spacing w:after="0"/>
              <w:rPr>
                <w:sz w:val="20"/>
                <w:szCs w:val="20"/>
                <w:color w:val="auto"/>
              </w:rPr>
            </w:pPr>
            <w:r>
              <w:rPr>
                <w:rFonts w:ascii="Arial" w:cs="Arial" w:eastAsia="Arial" w:hAnsi="Arial"/>
                <w:sz w:val="18"/>
                <w:szCs w:val="18"/>
                <w:color w:val="auto"/>
                <w:w w:val="88"/>
              </w:rPr>
              <w:t>—</w:t>
            </w:r>
          </w:p>
        </w:tc>
        <w:tc>
          <w:tcPr>
            <w:tcW w:w="220" w:type="dxa"/>
            <w:vAlign w:val="bottom"/>
            <w:tcBorders>
              <w:bottom w:val="single" w:sz="8" w:color="CFF0FC"/>
            </w:tcBorders>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54,784</w:t>
            </w:r>
          </w:p>
        </w:tc>
        <w:tc>
          <w:tcPr>
            <w:tcW w:w="100" w:type="dxa"/>
            <w:vAlign w:val="bottom"/>
            <w:tcBorders>
              <w:bottom w:val="single" w:sz="8" w:color="CFF0FC"/>
            </w:tcBorders>
            <w:shd w:val="clear" w:color="auto" w:fill="CFF0FC"/>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182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58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182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580" w:type="dxa"/>
            <w:vAlign w:val="bottom"/>
            <w:tcBorders>
              <w:bottom w:val="single" w:sz="8" w:color="9A9A9A"/>
            </w:tcBorders>
          </w:tcPr>
          <w:p>
            <w:pPr>
              <w:spacing w:after="0"/>
              <w:rPr>
                <w:sz w:val="10"/>
                <w:szCs w:val="10"/>
                <w:color w:val="auto"/>
              </w:rPr>
            </w:pPr>
          </w:p>
        </w:tc>
        <w:tc>
          <w:tcPr>
            <w:tcW w:w="3340" w:type="dxa"/>
            <w:vAlign w:val="bottom"/>
            <w:tcBorders>
              <w:bottom w:val="single" w:sz="8" w:color="9A9A9A"/>
            </w:tcBorders>
          </w:tcPr>
          <w:p>
            <w:pPr>
              <w:spacing w:after="0"/>
              <w:rPr>
                <w:sz w:val="10"/>
                <w:szCs w:val="10"/>
                <w:color w:val="auto"/>
              </w:rPr>
            </w:pPr>
          </w:p>
        </w:tc>
        <w:tc>
          <w:tcPr>
            <w:tcW w:w="182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84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84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76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76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773" w:right="3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t>Note 4—Property and Equipment</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Property and equipment, net consisted of (in thousands):</w:t>
      </w:r>
    </w:p>
    <w:p>
      <w:pPr>
        <w:spacing w:after="0" w:line="298" w:lineRule="exact"/>
        <w:rPr>
          <w:sz w:val="20"/>
          <w:szCs w:val="20"/>
          <w:color w:val="auto"/>
        </w:rPr>
      </w:pPr>
    </w:p>
    <w:tbl>
      <w:tblPr>
        <w:tblLayout w:type="fixed"/>
        <w:tblInd w:w="1700" w:type="dxa"/>
        <w:tblCellMar>
          <w:top w:w="0" w:type="dxa"/>
          <w:left w:w="0" w:type="dxa"/>
          <w:bottom w:w="0" w:type="dxa"/>
          <w:right w:w="0" w:type="dxa"/>
        </w:tblCellMar>
      </w:tblPr>
      <w:tr>
        <w:trPr>
          <w:trHeight w:val="162"/>
        </w:trPr>
        <w:tc>
          <w:tcPr>
            <w:tcW w:w="53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1"/>
              </w:rPr>
              <w:t>As of</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5"/>
              </w:rPr>
              <w:t>As of</w:t>
            </w:r>
          </w:p>
        </w:tc>
      </w:tr>
      <w:tr>
        <w:trPr>
          <w:trHeight w:val="162"/>
        </w:trPr>
        <w:tc>
          <w:tcPr>
            <w:tcW w:w="53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2"/>
              </w:rPr>
              <w:t>June 30,</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December 31,</w:t>
            </w:r>
          </w:p>
        </w:tc>
      </w:tr>
      <w:tr>
        <w:trPr>
          <w:trHeight w:val="171"/>
        </w:trPr>
        <w:tc>
          <w:tcPr>
            <w:tcW w:w="536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115"/>
              <w:spacing w:after="0"/>
              <w:rPr>
                <w:sz w:val="20"/>
                <w:szCs w:val="20"/>
                <w:color w:val="auto"/>
              </w:rPr>
            </w:pPr>
            <w:r>
              <w:rPr>
                <w:rFonts w:ascii="Arial" w:cs="Arial" w:eastAsia="Arial" w:hAnsi="Arial"/>
                <w:sz w:val="14"/>
                <w:szCs w:val="14"/>
                <w:b w:val="1"/>
                <w:bCs w:val="1"/>
                <w:color w:val="auto"/>
                <w:w w:val="89"/>
              </w:rPr>
              <w:t>2021</w:t>
            </w:r>
          </w:p>
        </w:tc>
        <w:tc>
          <w:tcPr>
            <w:tcW w:w="140" w:type="dxa"/>
            <w:vAlign w:val="bottom"/>
            <w:tcBorders>
              <w:bottom w:val="single" w:sz="8" w:color="CFF0FC"/>
            </w:tcBorders>
          </w:tcPr>
          <w:p>
            <w:pPr>
              <w:spacing w:after="0"/>
              <w:rPr>
                <w:sz w:val="14"/>
                <w:szCs w:val="14"/>
                <w:color w:val="auto"/>
              </w:rPr>
            </w:pPr>
          </w:p>
        </w:tc>
        <w:tc>
          <w:tcPr>
            <w:tcW w:w="6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96"/>
              </w:rPr>
              <w:t>2020</w:t>
            </w:r>
          </w:p>
        </w:tc>
        <w:tc>
          <w:tcPr>
            <w:tcW w:w="80" w:type="dxa"/>
            <w:vAlign w:val="bottom"/>
            <w:tcBorders>
              <w:bottom w:val="single" w:sz="8" w:color="CFF0FC"/>
            </w:tcBorders>
          </w:tcPr>
          <w:p>
            <w:pPr>
              <w:spacing w:after="0"/>
              <w:rPr>
                <w:sz w:val="14"/>
                <w:szCs w:val="14"/>
                <w:color w:val="auto"/>
              </w:rPr>
            </w:pPr>
          </w:p>
        </w:tc>
      </w:tr>
      <w:tr>
        <w:trPr>
          <w:trHeight w:val="223"/>
        </w:trPr>
        <w:tc>
          <w:tcPr>
            <w:tcW w:w="5360" w:type="dxa"/>
            <w:vAlign w:val="bottom"/>
            <w:shd w:val="clear" w:color="auto" w:fill="CFF0FC"/>
          </w:tcPr>
          <w:p>
            <w:pPr>
              <w:spacing w:after="0"/>
              <w:rPr>
                <w:sz w:val="20"/>
                <w:szCs w:val="20"/>
                <w:color w:val="auto"/>
              </w:rPr>
            </w:pPr>
            <w:r>
              <w:rPr>
                <w:rFonts w:ascii="Arial" w:cs="Arial" w:eastAsia="Arial" w:hAnsi="Arial"/>
                <w:sz w:val="18"/>
                <w:szCs w:val="18"/>
                <w:color w:val="auto"/>
              </w:rPr>
              <w:t>Office furniture and fixtures</w:t>
            </w:r>
          </w:p>
        </w:tc>
        <w:tc>
          <w:tcPr>
            <w:tcW w:w="180" w:type="dxa"/>
            <w:vAlign w:val="bottom"/>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343</w:t>
            </w:r>
          </w:p>
        </w:tc>
        <w:tc>
          <w:tcPr>
            <w:tcW w:w="14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117</w:t>
            </w:r>
          </w:p>
        </w:tc>
        <w:tc>
          <w:tcPr>
            <w:tcW w:w="80" w:type="dxa"/>
            <w:vAlign w:val="bottom"/>
            <w:shd w:val="clear" w:color="auto" w:fill="CFF0FC"/>
          </w:tcPr>
          <w:p>
            <w:pPr>
              <w:spacing w:after="0"/>
              <w:rPr>
                <w:sz w:val="19"/>
                <w:szCs w:val="19"/>
                <w:color w:val="auto"/>
              </w:rPr>
            </w:pPr>
          </w:p>
        </w:tc>
      </w:tr>
      <w:tr>
        <w:trPr>
          <w:trHeight w:val="229"/>
        </w:trPr>
        <w:tc>
          <w:tcPr>
            <w:tcW w:w="5360" w:type="dxa"/>
            <w:vAlign w:val="bottom"/>
          </w:tcPr>
          <w:p>
            <w:pPr>
              <w:spacing w:after="0"/>
              <w:rPr>
                <w:sz w:val="20"/>
                <w:szCs w:val="20"/>
                <w:color w:val="auto"/>
              </w:rPr>
            </w:pPr>
            <w:r>
              <w:rPr>
                <w:rFonts w:ascii="Arial" w:cs="Arial" w:eastAsia="Arial" w:hAnsi="Arial"/>
                <w:sz w:val="18"/>
                <w:szCs w:val="18"/>
                <w:color w:val="auto"/>
              </w:rPr>
              <w:t>Machinery and equipment</w:t>
            </w:r>
          </w:p>
        </w:tc>
        <w:tc>
          <w:tcPr>
            <w:tcW w:w="1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128</w:t>
            </w: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102</w:t>
            </w:r>
          </w:p>
        </w:tc>
        <w:tc>
          <w:tcPr>
            <w:tcW w:w="80" w:type="dxa"/>
            <w:vAlign w:val="bottom"/>
          </w:tcPr>
          <w:p>
            <w:pPr>
              <w:spacing w:after="0"/>
              <w:rPr>
                <w:sz w:val="19"/>
                <w:szCs w:val="19"/>
                <w:color w:val="auto"/>
              </w:rPr>
            </w:pPr>
          </w:p>
        </w:tc>
      </w:tr>
      <w:tr>
        <w:trPr>
          <w:trHeight w:val="230"/>
        </w:trPr>
        <w:tc>
          <w:tcPr>
            <w:tcW w:w="5360" w:type="dxa"/>
            <w:vAlign w:val="bottom"/>
            <w:shd w:val="clear" w:color="auto" w:fill="CFF0FC"/>
          </w:tcPr>
          <w:p>
            <w:pPr>
              <w:spacing w:after="0"/>
              <w:rPr>
                <w:sz w:val="20"/>
                <w:szCs w:val="20"/>
                <w:color w:val="auto"/>
              </w:rPr>
            </w:pPr>
            <w:r>
              <w:rPr>
                <w:rFonts w:ascii="Arial" w:cs="Arial" w:eastAsia="Arial" w:hAnsi="Arial"/>
                <w:sz w:val="18"/>
                <w:szCs w:val="18"/>
                <w:color w:val="auto"/>
              </w:rPr>
              <w:t>Leasehold improvements</w:t>
            </w: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101</w:t>
            </w:r>
          </w:p>
        </w:tc>
        <w:tc>
          <w:tcPr>
            <w:tcW w:w="14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101</w:t>
            </w:r>
          </w:p>
        </w:tc>
        <w:tc>
          <w:tcPr>
            <w:tcW w:w="80" w:type="dxa"/>
            <w:vAlign w:val="bottom"/>
            <w:shd w:val="clear" w:color="auto" w:fill="CFF0FC"/>
          </w:tcPr>
          <w:p>
            <w:pPr>
              <w:spacing w:after="0"/>
              <w:rPr>
                <w:sz w:val="19"/>
                <w:szCs w:val="19"/>
                <w:color w:val="auto"/>
              </w:rPr>
            </w:pPr>
          </w:p>
        </w:tc>
      </w:tr>
      <w:tr>
        <w:trPr>
          <w:trHeight w:val="229"/>
        </w:trPr>
        <w:tc>
          <w:tcPr>
            <w:tcW w:w="5360" w:type="dxa"/>
            <w:vAlign w:val="bottom"/>
          </w:tcPr>
          <w:p>
            <w:pPr>
              <w:spacing w:after="0"/>
              <w:rPr>
                <w:sz w:val="20"/>
                <w:szCs w:val="20"/>
                <w:color w:val="auto"/>
              </w:rPr>
            </w:pPr>
            <w:r>
              <w:rPr>
                <w:rFonts w:ascii="Arial" w:cs="Arial" w:eastAsia="Arial" w:hAnsi="Arial"/>
                <w:sz w:val="18"/>
                <w:szCs w:val="18"/>
                <w:color w:val="auto"/>
              </w:rPr>
              <w:t>Office equipment</w:t>
            </w:r>
          </w:p>
        </w:tc>
        <w:tc>
          <w:tcPr>
            <w:tcW w:w="1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301</w:t>
            </w: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52</w:t>
            </w:r>
          </w:p>
        </w:tc>
        <w:tc>
          <w:tcPr>
            <w:tcW w:w="80" w:type="dxa"/>
            <w:vAlign w:val="bottom"/>
          </w:tcPr>
          <w:p>
            <w:pPr>
              <w:spacing w:after="0"/>
              <w:rPr>
                <w:sz w:val="19"/>
                <w:szCs w:val="19"/>
                <w:color w:val="auto"/>
              </w:rPr>
            </w:pPr>
          </w:p>
        </w:tc>
      </w:tr>
      <w:tr>
        <w:trPr>
          <w:trHeight w:val="229"/>
        </w:trPr>
        <w:tc>
          <w:tcPr>
            <w:tcW w:w="5360" w:type="dxa"/>
            <w:vAlign w:val="bottom"/>
            <w:shd w:val="clear" w:color="auto" w:fill="CFF0FC"/>
          </w:tcPr>
          <w:p>
            <w:pPr>
              <w:spacing w:after="0"/>
              <w:rPr>
                <w:sz w:val="20"/>
                <w:szCs w:val="20"/>
                <w:color w:val="auto"/>
              </w:rPr>
            </w:pPr>
            <w:r>
              <w:rPr>
                <w:rFonts w:ascii="Arial" w:cs="Arial" w:eastAsia="Arial" w:hAnsi="Arial"/>
                <w:sz w:val="18"/>
                <w:szCs w:val="18"/>
                <w:color w:val="auto"/>
              </w:rPr>
              <w:t>Automobiles</w:t>
            </w: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w:t>
            </w:r>
          </w:p>
        </w:tc>
        <w:tc>
          <w:tcPr>
            <w:tcW w:w="14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r>
      <w:tr>
        <w:trPr>
          <w:trHeight w:val="230"/>
        </w:trPr>
        <w:tc>
          <w:tcPr>
            <w:tcW w:w="53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Construction in process</w:t>
            </w:r>
          </w:p>
        </w:tc>
        <w:tc>
          <w:tcPr>
            <w:tcW w:w="1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2,923</w:t>
            </w:r>
          </w:p>
        </w:tc>
        <w:tc>
          <w:tcPr>
            <w:tcW w:w="140" w:type="dxa"/>
            <w:vAlign w:val="bottom"/>
            <w:tcBorders>
              <w:bottom w:val="single" w:sz="8" w:color="CFF0FC"/>
            </w:tcBorders>
          </w:tcPr>
          <w:p>
            <w:pPr>
              <w:spacing w:after="0"/>
              <w:rPr>
                <w:sz w:val="19"/>
                <w:szCs w:val="19"/>
                <w:color w:val="auto"/>
              </w:rPr>
            </w:pPr>
          </w:p>
        </w:tc>
        <w:tc>
          <w:tcPr>
            <w:tcW w:w="6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2,857</w:t>
            </w:r>
          </w:p>
        </w:tc>
        <w:tc>
          <w:tcPr>
            <w:tcW w:w="80" w:type="dxa"/>
            <w:vAlign w:val="bottom"/>
            <w:tcBorders>
              <w:bottom w:val="single" w:sz="8" w:color="CFF0FC"/>
            </w:tcBorders>
          </w:tcPr>
          <w:p>
            <w:pPr>
              <w:spacing w:after="0"/>
              <w:rPr>
                <w:sz w:val="19"/>
                <w:szCs w:val="19"/>
                <w:color w:val="auto"/>
              </w:rPr>
            </w:pPr>
          </w:p>
        </w:tc>
      </w:tr>
      <w:tr>
        <w:trPr>
          <w:trHeight w:val="223"/>
        </w:trPr>
        <w:tc>
          <w:tcPr>
            <w:tcW w:w="53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3,822</w:t>
            </w:r>
          </w:p>
        </w:tc>
        <w:tc>
          <w:tcPr>
            <w:tcW w:w="14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3,229</w:t>
            </w:r>
          </w:p>
        </w:tc>
        <w:tc>
          <w:tcPr>
            <w:tcW w:w="80" w:type="dxa"/>
            <w:vAlign w:val="bottom"/>
            <w:shd w:val="clear" w:color="auto" w:fill="CFF0FC"/>
          </w:tcPr>
          <w:p>
            <w:pPr>
              <w:spacing w:after="0"/>
              <w:rPr>
                <w:sz w:val="19"/>
                <w:szCs w:val="19"/>
                <w:color w:val="auto"/>
              </w:rPr>
            </w:pPr>
          </w:p>
        </w:tc>
      </w:tr>
      <w:tr>
        <w:trPr>
          <w:trHeight w:val="230"/>
        </w:trPr>
        <w:tc>
          <w:tcPr>
            <w:tcW w:w="5360" w:type="dxa"/>
            <w:vAlign w:val="bottom"/>
          </w:tcPr>
          <w:p>
            <w:pPr>
              <w:spacing w:after="0"/>
              <w:rPr>
                <w:sz w:val="20"/>
                <w:szCs w:val="20"/>
                <w:color w:val="auto"/>
              </w:rPr>
            </w:pPr>
            <w:r>
              <w:rPr>
                <w:rFonts w:ascii="Arial" w:cs="Arial" w:eastAsia="Arial" w:hAnsi="Arial"/>
                <w:sz w:val="18"/>
                <w:szCs w:val="18"/>
                <w:color w:val="auto"/>
              </w:rPr>
              <w:t>Accumulated depreciation</w:t>
            </w:r>
          </w:p>
        </w:tc>
        <w:tc>
          <w:tcPr>
            <w:tcW w:w="180" w:type="dxa"/>
            <w:vAlign w:val="bottom"/>
          </w:tcPr>
          <w:p>
            <w:pPr>
              <w:spacing w:after="0"/>
              <w:rPr>
                <w:sz w:val="19"/>
                <w:szCs w:val="19"/>
                <w:color w:val="auto"/>
              </w:rPr>
            </w:pP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(174)</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(127)</w:t>
            </w:r>
          </w:p>
        </w:tc>
      </w:tr>
      <w:tr>
        <w:trPr>
          <w:trHeight w:val="223"/>
        </w:trPr>
        <w:tc>
          <w:tcPr>
            <w:tcW w:w="536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property and equipment, net</w:t>
            </w:r>
          </w:p>
        </w:tc>
        <w:tc>
          <w:tcPr>
            <w:tcW w:w="180" w:type="dxa"/>
            <w:vAlign w:val="bottom"/>
            <w:tcBorders>
              <w:top w:val="single" w:sz="8" w:color="auto"/>
              <w:bottom w:val="single" w:sz="8" w:color="auto"/>
            </w:tcBorders>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3,648</w:t>
            </w: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6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3,102</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53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29" w:lineRule="exact"/>
        <w:rPr>
          <w:sz w:val="20"/>
          <w:szCs w:val="20"/>
          <w:color w:val="auto"/>
        </w:rPr>
      </w:pPr>
    </w:p>
    <w:p>
      <w:pPr>
        <w:ind w:right="120" w:firstLine="510"/>
        <w:spacing w:after="0" w:line="277" w:lineRule="auto"/>
        <w:rPr>
          <w:sz w:val="20"/>
          <w:szCs w:val="20"/>
          <w:color w:val="auto"/>
        </w:rPr>
      </w:pPr>
      <w:r>
        <w:rPr>
          <w:rFonts w:ascii="Arial" w:cs="Arial" w:eastAsia="Arial" w:hAnsi="Arial"/>
          <w:sz w:val="18"/>
          <w:szCs w:val="18"/>
          <w:color w:val="auto"/>
        </w:rPr>
        <w:t>The Company has recorded an asset classified as construction in process associated with the construction of a product assembly and packaging line that would be placed into service for commercial manufacturing upon future regulatory product approval.</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5—Accrued Expenses and Other Current Liabilities</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Accrued expenses and other current liabilities consisted of the following (in thousands):</w:t>
      </w:r>
    </w:p>
    <w:p>
      <w:pPr>
        <w:spacing w:after="0" w:line="218" w:lineRule="exact"/>
        <w:rPr>
          <w:sz w:val="20"/>
          <w:szCs w:val="20"/>
          <w:color w:val="auto"/>
        </w:rPr>
      </w:pPr>
    </w:p>
    <w:tbl>
      <w:tblPr>
        <w:tblLayout w:type="fixed"/>
        <w:tblInd w:w="1700" w:type="dxa"/>
        <w:tblCellMar>
          <w:top w:w="0" w:type="dxa"/>
          <w:left w:w="0" w:type="dxa"/>
          <w:bottom w:w="0" w:type="dxa"/>
          <w:right w:w="0" w:type="dxa"/>
        </w:tblCellMar>
      </w:tblPr>
      <w:tr>
        <w:trPr>
          <w:trHeight w:val="161"/>
        </w:trPr>
        <w:tc>
          <w:tcPr>
            <w:tcW w:w="5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2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1"/>
              </w:rPr>
              <w:t>As of</w:t>
            </w:r>
          </w:p>
        </w:tc>
        <w:tc>
          <w:tcPr>
            <w:tcW w:w="80" w:type="dxa"/>
            <w:vAlign w:val="bottom"/>
          </w:tcPr>
          <w:p>
            <w:pPr>
              <w:spacing w:after="0"/>
              <w:rPr>
                <w:sz w:val="14"/>
                <w:szCs w:val="14"/>
                <w:color w:val="auto"/>
              </w:rPr>
            </w:pPr>
          </w:p>
        </w:tc>
        <w:tc>
          <w:tcPr>
            <w:tcW w:w="10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5"/>
              </w:rPr>
              <w:t>As of</w:t>
            </w:r>
          </w:p>
        </w:tc>
      </w:tr>
      <w:tr>
        <w:trPr>
          <w:trHeight w:val="148"/>
        </w:trPr>
        <w:tc>
          <w:tcPr>
            <w:tcW w:w="54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2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2"/>
              </w:rPr>
              <w:t>June 30,</w:t>
            </w:r>
          </w:p>
        </w:tc>
        <w:tc>
          <w:tcPr>
            <w:tcW w:w="80" w:type="dxa"/>
            <w:vAlign w:val="bottom"/>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0"/>
              </w:rPr>
              <w:t>December 31,</w:t>
            </w:r>
          </w:p>
        </w:tc>
      </w:tr>
      <w:tr>
        <w:trPr>
          <w:trHeight w:val="171"/>
        </w:trPr>
        <w:tc>
          <w:tcPr>
            <w:tcW w:w="5420" w:type="dxa"/>
            <w:vAlign w:val="bottom"/>
            <w:tcBorders>
              <w:bottom w:val="single" w:sz="8" w:color="CFF0FC"/>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115"/>
              <w:spacing w:after="0"/>
              <w:rPr>
                <w:sz w:val="20"/>
                <w:szCs w:val="20"/>
                <w:color w:val="auto"/>
              </w:rPr>
            </w:pPr>
            <w:r>
              <w:rPr>
                <w:rFonts w:ascii="Arial" w:cs="Arial" w:eastAsia="Arial" w:hAnsi="Arial"/>
                <w:sz w:val="14"/>
                <w:szCs w:val="14"/>
                <w:b w:val="1"/>
                <w:bCs w:val="1"/>
                <w:color w:val="auto"/>
                <w:w w:val="89"/>
              </w:rPr>
              <w:t>2021</w:t>
            </w:r>
          </w:p>
        </w:tc>
        <w:tc>
          <w:tcPr>
            <w:tcW w:w="200" w:type="dxa"/>
            <w:vAlign w:val="bottom"/>
            <w:tcBorders>
              <w:bottom w:val="single" w:sz="8" w:color="CFF0FC"/>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jc w:val="center"/>
              <w:ind w:right="15"/>
              <w:spacing w:after="0"/>
              <w:rPr>
                <w:sz w:val="20"/>
                <w:szCs w:val="20"/>
                <w:color w:val="auto"/>
              </w:rPr>
            </w:pPr>
            <w:r>
              <w:rPr>
                <w:rFonts w:ascii="Arial" w:cs="Arial" w:eastAsia="Arial" w:hAnsi="Arial"/>
                <w:sz w:val="14"/>
                <w:szCs w:val="14"/>
                <w:b w:val="1"/>
                <w:bCs w:val="1"/>
                <w:color w:val="auto"/>
                <w:w w:val="96"/>
              </w:rPr>
              <w:t>2020</w:t>
            </w:r>
          </w:p>
        </w:tc>
        <w:tc>
          <w:tcPr>
            <w:tcW w:w="80" w:type="dxa"/>
            <w:vAlign w:val="bottom"/>
            <w:tcBorders>
              <w:bottom w:val="single" w:sz="8" w:color="CFF0FC"/>
            </w:tcBorders>
          </w:tcPr>
          <w:p>
            <w:pPr>
              <w:spacing w:after="0"/>
              <w:rPr>
                <w:sz w:val="14"/>
                <w:szCs w:val="14"/>
                <w:color w:val="auto"/>
              </w:rPr>
            </w:pPr>
          </w:p>
        </w:tc>
      </w:tr>
      <w:tr>
        <w:trPr>
          <w:trHeight w:val="223"/>
        </w:trPr>
        <w:tc>
          <w:tcPr>
            <w:tcW w:w="5420" w:type="dxa"/>
            <w:vAlign w:val="bottom"/>
            <w:shd w:val="clear" w:color="auto" w:fill="CFF0FC"/>
          </w:tcPr>
          <w:p>
            <w:pPr>
              <w:spacing w:after="0"/>
              <w:rPr>
                <w:sz w:val="20"/>
                <w:szCs w:val="20"/>
                <w:color w:val="auto"/>
              </w:rPr>
            </w:pPr>
            <w:r>
              <w:rPr>
                <w:rFonts w:ascii="Arial" w:cs="Arial" w:eastAsia="Arial" w:hAnsi="Arial"/>
                <w:sz w:val="18"/>
                <w:szCs w:val="18"/>
                <w:color w:val="auto"/>
              </w:rPr>
              <w:t>Compensation and related costs</w:t>
            </w:r>
          </w:p>
        </w:tc>
        <w:tc>
          <w:tcPr>
            <w:tcW w:w="2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1,089</w:t>
            </w:r>
          </w:p>
        </w:tc>
        <w:tc>
          <w:tcPr>
            <w:tcW w:w="20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1,338</w:t>
            </w:r>
          </w:p>
        </w:tc>
        <w:tc>
          <w:tcPr>
            <w:tcW w:w="80" w:type="dxa"/>
            <w:vAlign w:val="bottom"/>
            <w:shd w:val="clear" w:color="auto" w:fill="CFF0FC"/>
          </w:tcPr>
          <w:p>
            <w:pPr>
              <w:spacing w:after="0"/>
              <w:rPr>
                <w:sz w:val="19"/>
                <w:szCs w:val="19"/>
                <w:color w:val="auto"/>
              </w:rPr>
            </w:pPr>
          </w:p>
        </w:tc>
      </w:tr>
      <w:tr>
        <w:trPr>
          <w:trHeight w:val="230"/>
        </w:trPr>
        <w:tc>
          <w:tcPr>
            <w:tcW w:w="5420" w:type="dxa"/>
            <w:vAlign w:val="bottom"/>
          </w:tcPr>
          <w:p>
            <w:pPr>
              <w:spacing w:after="0"/>
              <w:rPr>
                <w:sz w:val="20"/>
                <w:szCs w:val="20"/>
                <w:color w:val="auto"/>
              </w:rPr>
            </w:pPr>
            <w:r>
              <w:rPr>
                <w:rFonts w:ascii="Arial" w:cs="Arial" w:eastAsia="Arial" w:hAnsi="Arial"/>
                <w:sz w:val="18"/>
                <w:szCs w:val="18"/>
                <w:color w:val="auto"/>
              </w:rPr>
              <w:t>Commercial costs</w:t>
            </w: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981</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r>
      <w:tr>
        <w:trPr>
          <w:trHeight w:val="229"/>
        </w:trPr>
        <w:tc>
          <w:tcPr>
            <w:tcW w:w="5420" w:type="dxa"/>
            <w:vAlign w:val="bottom"/>
            <w:shd w:val="clear" w:color="auto" w:fill="CFF0FC"/>
          </w:tcPr>
          <w:p>
            <w:pPr>
              <w:spacing w:after="0"/>
              <w:rPr>
                <w:sz w:val="20"/>
                <w:szCs w:val="20"/>
                <w:color w:val="auto"/>
              </w:rPr>
            </w:pPr>
            <w:r>
              <w:rPr>
                <w:rFonts w:ascii="Arial" w:cs="Arial" w:eastAsia="Arial" w:hAnsi="Arial"/>
                <w:sz w:val="18"/>
                <w:szCs w:val="18"/>
                <w:color w:val="auto"/>
              </w:rPr>
              <w:t>Clinical trials and drug development</w:t>
            </w: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385</w:t>
            </w:r>
          </w:p>
        </w:tc>
        <w:tc>
          <w:tcPr>
            <w:tcW w:w="2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611</w:t>
            </w:r>
          </w:p>
        </w:tc>
        <w:tc>
          <w:tcPr>
            <w:tcW w:w="80" w:type="dxa"/>
            <w:vAlign w:val="bottom"/>
            <w:shd w:val="clear" w:color="auto" w:fill="CFF0FC"/>
          </w:tcPr>
          <w:p>
            <w:pPr>
              <w:spacing w:after="0"/>
              <w:rPr>
                <w:sz w:val="19"/>
                <w:szCs w:val="19"/>
                <w:color w:val="auto"/>
              </w:rPr>
            </w:pPr>
          </w:p>
        </w:tc>
      </w:tr>
      <w:tr>
        <w:trPr>
          <w:trHeight w:val="230"/>
        </w:trPr>
        <w:tc>
          <w:tcPr>
            <w:tcW w:w="5420" w:type="dxa"/>
            <w:vAlign w:val="bottom"/>
          </w:tcPr>
          <w:p>
            <w:pPr>
              <w:spacing w:after="0"/>
              <w:rPr>
                <w:sz w:val="20"/>
                <w:szCs w:val="20"/>
                <w:color w:val="auto"/>
              </w:rPr>
            </w:pPr>
            <w:r>
              <w:rPr>
                <w:rFonts w:ascii="Arial" w:cs="Arial" w:eastAsia="Arial" w:hAnsi="Arial"/>
                <w:sz w:val="18"/>
                <w:szCs w:val="18"/>
                <w:color w:val="auto"/>
              </w:rPr>
              <w:t>Professional fees</w:t>
            </w: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188</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447</w:t>
            </w:r>
          </w:p>
        </w:tc>
        <w:tc>
          <w:tcPr>
            <w:tcW w:w="80" w:type="dxa"/>
            <w:vAlign w:val="bottom"/>
          </w:tcPr>
          <w:p>
            <w:pPr>
              <w:spacing w:after="0"/>
              <w:rPr>
                <w:sz w:val="19"/>
                <w:szCs w:val="19"/>
                <w:color w:val="auto"/>
              </w:rPr>
            </w:pPr>
          </w:p>
        </w:tc>
      </w:tr>
      <w:tr>
        <w:trPr>
          <w:trHeight w:val="230"/>
        </w:trPr>
        <w:tc>
          <w:tcPr>
            <w:tcW w:w="5420" w:type="dxa"/>
            <w:vAlign w:val="bottom"/>
            <w:shd w:val="clear" w:color="auto" w:fill="CFF0FC"/>
          </w:tcPr>
          <w:p>
            <w:pPr>
              <w:spacing w:after="0"/>
              <w:rPr>
                <w:sz w:val="20"/>
                <w:szCs w:val="20"/>
                <w:color w:val="auto"/>
              </w:rPr>
            </w:pPr>
            <w:r>
              <w:rPr>
                <w:rFonts w:ascii="Arial" w:cs="Arial" w:eastAsia="Arial" w:hAnsi="Arial"/>
                <w:sz w:val="18"/>
                <w:szCs w:val="18"/>
                <w:color w:val="auto"/>
              </w:rPr>
              <w:t>Construction in process</w:t>
            </w: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175</w:t>
            </w:r>
          </w:p>
        </w:tc>
        <w:tc>
          <w:tcPr>
            <w:tcW w:w="2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277</w:t>
            </w:r>
          </w:p>
        </w:tc>
        <w:tc>
          <w:tcPr>
            <w:tcW w:w="80" w:type="dxa"/>
            <w:vAlign w:val="bottom"/>
            <w:shd w:val="clear" w:color="auto" w:fill="CFF0FC"/>
          </w:tcPr>
          <w:p>
            <w:pPr>
              <w:spacing w:after="0"/>
              <w:rPr>
                <w:sz w:val="19"/>
                <w:szCs w:val="19"/>
                <w:color w:val="auto"/>
              </w:rPr>
            </w:pPr>
          </w:p>
        </w:tc>
      </w:tr>
      <w:tr>
        <w:trPr>
          <w:trHeight w:val="230"/>
        </w:trPr>
        <w:tc>
          <w:tcPr>
            <w:tcW w:w="5420" w:type="dxa"/>
            <w:vAlign w:val="bottom"/>
          </w:tcPr>
          <w:p>
            <w:pPr>
              <w:spacing w:after="0"/>
              <w:rPr>
                <w:sz w:val="20"/>
                <w:szCs w:val="20"/>
                <w:color w:val="auto"/>
              </w:rPr>
            </w:pPr>
            <w:r>
              <w:rPr>
                <w:rFonts w:ascii="Arial" w:cs="Arial" w:eastAsia="Arial" w:hAnsi="Arial"/>
                <w:sz w:val="18"/>
                <w:szCs w:val="18"/>
                <w:color w:val="auto"/>
              </w:rPr>
              <w:t>Interest expense</w:t>
            </w: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242</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219</w:t>
            </w:r>
          </w:p>
        </w:tc>
        <w:tc>
          <w:tcPr>
            <w:tcW w:w="80" w:type="dxa"/>
            <w:vAlign w:val="bottom"/>
          </w:tcPr>
          <w:p>
            <w:pPr>
              <w:spacing w:after="0"/>
              <w:rPr>
                <w:sz w:val="19"/>
                <w:szCs w:val="19"/>
                <w:color w:val="auto"/>
              </w:rPr>
            </w:pPr>
          </w:p>
        </w:tc>
      </w:tr>
      <w:tr>
        <w:trPr>
          <w:trHeight w:val="229"/>
        </w:trPr>
        <w:tc>
          <w:tcPr>
            <w:tcW w:w="5420" w:type="dxa"/>
            <w:vAlign w:val="bottom"/>
            <w:shd w:val="clear" w:color="auto" w:fill="CFF0FC"/>
          </w:tcPr>
          <w:p>
            <w:pPr>
              <w:spacing w:after="0"/>
              <w:rPr>
                <w:sz w:val="20"/>
                <w:szCs w:val="20"/>
                <w:color w:val="auto"/>
              </w:rPr>
            </w:pPr>
            <w:r>
              <w:rPr>
                <w:rFonts w:ascii="Arial" w:cs="Arial" w:eastAsia="Arial" w:hAnsi="Arial"/>
                <w:sz w:val="18"/>
                <w:szCs w:val="18"/>
                <w:color w:val="auto"/>
              </w:rPr>
              <w:t>Other accrued expenses and other current liabilities</w:t>
            </w:r>
          </w:p>
        </w:tc>
        <w:tc>
          <w:tcPr>
            <w:tcW w:w="20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192</w:t>
            </w:r>
          </w:p>
        </w:tc>
        <w:tc>
          <w:tcPr>
            <w:tcW w:w="200" w:type="dxa"/>
            <w:vAlign w:val="bottom"/>
            <w:shd w:val="clear" w:color="auto" w:fill="CFF0FC"/>
          </w:tcPr>
          <w:p>
            <w:pPr>
              <w:spacing w:after="0"/>
              <w:rPr>
                <w:sz w:val="19"/>
                <w:szCs w:val="19"/>
                <w:color w:val="auto"/>
              </w:rPr>
            </w:pPr>
          </w:p>
        </w:tc>
        <w:tc>
          <w:tcPr>
            <w:tcW w:w="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222</w:t>
            </w:r>
          </w:p>
        </w:tc>
        <w:tc>
          <w:tcPr>
            <w:tcW w:w="80" w:type="dxa"/>
            <w:vAlign w:val="bottom"/>
            <w:shd w:val="clear" w:color="auto" w:fill="CFF0FC"/>
          </w:tcPr>
          <w:p>
            <w:pPr>
              <w:spacing w:after="0"/>
              <w:rPr>
                <w:sz w:val="19"/>
                <w:szCs w:val="19"/>
                <w:color w:val="auto"/>
              </w:rPr>
            </w:pPr>
          </w:p>
        </w:tc>
      </w:tr>
      <w:tr>
        <w:trPr>
          <w:trHeight w:val="223"/>
        </w:trPr>
        <w:tc>
          <w:tcPr>
            <w:tcW w:w="5420" w:type="dxa"/>
            <w:vAlign w:val="bottom"/>
          </w:tcPr>
          <w:p>
            <w:pPr>
              <w:spacing w:after="0"/>
              <w:rPr>
                <w:sz w:val="20"/>
                <w:szCs w:val="20"/>
                <w:color w:val="auto"/>
              </w:rPr>
            </w:pPr>
            <w:r>
              <w:rPr>
                <w:rFonts w:ascii="Arial" w:cs="Arial" w:eastAsia="Arial" w:hAnsi="Arial"/>
                <w:sz w:val="18"/>
                <w:szCs w:val="18"/>
                <w:color w:val="auto"/>
              </w:rPr>
              <w:t>Total accrued expenses and other current liabilities</w:t>
            </w: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3,252</w:t>
            </w:r>
          </w:p>
        </w:tc>
        <w:tc>
          <w:tcPr>
            <w:tcW w:w="200" w:type="dxa"/>
            <w:vAlign w:val="bottom"/>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3,114</w:t>
            </w:r>
          </w:p>
        </w:tc>
        <w:tc>
          <w:tcPr>
            <w:tcW w:w="80" w:type="dxa"/>
            <w:vAlign w:val="bottom"/>
          </w:tcPr>
          <w:p>
            <w:pPr>
              <w:spacing w:after="0"/>
              <w:rPr>
                <w:sz w:val="19"/>
                <w:szCs w:val="19"/>
                <w:color w:val="auto"/>
              </w:rPr>
            </w:pPr>
          </w:p>
        </w:tc>
      </w:tr>
      <w:tr>
        <w:trPr>
          <w:trHeight w:val="20"/>
        </w:trPr>
        <w:tc>
          <w:tcPr>
            <w:tcW w:w="54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color w:val="auto"/>
        </w:rPr>
        <w:t>N</w:t>
      </w:r>
      <w:r>
        <w:rPr>
          <w:rFonts w:ascii="Arial" w:cs="Arial" w:eastAsia="Arial" w:hAnsi="Arial"/>
          <w:sz w:val="18"/>
          <w:szCs w:val="18"/>
          <w:b w:val="1"/>
          <w:bCs w:val="1"/>
          <w:color w:val="auto"/>
        </w:rPr>
        <w:t>ote 6—Leases</w:t>
      </w:r>
    </w:p>
    <w:p>
      <w:pPr>
        <w:spacing w:after="0" w:line="121" w:lineRule="exact"/>
        <w:rPr>
          <w:sz w:val="20"/>
          <w:szCs w:val="20"/>
          <w:color w:val="auto"/>
        </w:rPr>
      </w:pPr>
    </w:p>
    <w:p>
      <w:pPr>
        <w:ind w:right="100" w:firstLine="510"/>
        <w:spacing w:after="0" w:line="273" w:lineRule="auto"/>
        <w:rPr>
          <w:sz w:val="20"/>
          <w:szCs w:val="20"/>
          <w:color w:val="auto"/>
        </w:rPr>
      </w:pPr>
      <w:r>
        <w:rPr>
          <w:rFonts w:ascii="Arial" w:cs="Arial" w:eastAsia="Arial" w:hAnsi="Arial"/>
          <w:sz w:val="17"/>
          <w:szCs w:val="17"/>
          <w:color w:val="auto"/>
        </w:rPr>
        <w:t xml:space="preserve">Effective January 1, 2019, the Company accounts for its leases under ASC 842, </w:t>
      </w:r>
      <w:r>
        <w:rPr>
          <w:rFonts w:ascii="Arial" w:cs="Arial" w:eastAsia="Arial" w:hAnsi="Arial"/>
          <w:sz w:val="17"/>
          <w:szCs w:val="17"/>
          <w:i w:val="1"/>
          <w:iCs w:val="1"/>
          <w:color w:val="auto"/>
        </w:rPr>
        <w:t>Leases (Topic 842)</w:t>
      </w:r>
      <w:r>
        <w:rPr>
          <w:rFonts w:ascii="Arial" w:cs="Arial" w:eastAsia="Arial" w:hAnsi="Arial"/>
          <w:sz w:val="17"/>
          <w:szCs w:val="17"/>
          <w:color w:val="auto"/>
        </w:rPr>
        <w:t>. Under this guidance, arrangements meeting the definition of a lease are classified as operating or financing leases and are recorded on the balance sheet as both a right-of-use asset and lease liability, calculated by discounting fixed lease payments over the lease term at the rate implicit in the lease, if available, otherwise at the Company’s incremental borrowing rate. Lease liabilities are increased by interest and reduced by payments each period, and the right-of-use asset is amortized over the lease term. For operating leases, interest on the lease liability and the amortization of the right-of-use asset result in straight-line rent expense over the lease term. Variable lease expenses, if any, are recorded when incurred.</w:t>
      </w:r>
    </w:p>
    <w:p>
      <w:pPr>
        <w:spacing w:after="0" w:line="178" w:lineRule="exact"/>
        <w:rPr>
          <w:sz w:val="20"/>
          <w:szCs w:val="20"/>
          <w:color w:val="auto"/>
        </w:rPr>
      </w:pPr>
    </w:p>
    <w:p>
      <w:pPr>
        <w:ind w:right="20" w:firstLine="510"/>
        <w:spacing w:after="0" w:line="263" w:lineRule="auto"/>
        <w:rPr>
          <w:sz w:val="20"/>
          <w:szCs w:val="20"/>
          <w:color w:val="auto"/>
        </w:rPr>
      </w:pPr>
      <w:r>
        <w:rPr>
          <w:rFonts w:ascii="Arial" w:cs="Arial" w:eastAsia="Arial" w:hAnsi="Arial"/>
          <w:sz w:val="18"/>
          <w:szCs w:val="18"/>
          <w:color w:val="auto"/>
        </w:rPr>
        <w:t>In calculating the right-of-use asset and lease liability, the Company elects to combine lease and non-lease components. The Company excludes short-term leases having initial terms of 12 months or less from the guidance as an accounting policy election and recognizes rent expense on a straight-line basis over the lease term. The Company does not act as a lessor.</w:t>
      </w:r>
    </w:p>
    <w:p>
      <w:pPr>
        <w:spacing w:after="0" w:line="184" w:lineRule="exact"/>
        <w:rPr>
          <w:sz w:val="20"/>
          <w:szCs w:val="20"/>
          <w:color w:val="auto"/>
        </w:rPr>
      </w:pPr>
    </w:p>
    <w:p>
      <w:pPr>
        <w:ind w:firstLine="510"/>
        <w:spacing w:after="0" w:line="275" w:lineRule="auto"/>
        <w:rPr>
          <w:sz w:val="20"/>
          <w:szCs w:val="20"/>
          <w:color w:val="auto"/>
        </w:rPr>
      </w:pPr>
      <w:r>
        <w:rPr>
          <w:rFonts w:ascii="Arial" w:cs="Arial" w:eastAsia="Arial" w:hAnsi="Arial"/>
          <w:sz w:val="17"/>
          <w:szCs w:val="17"/>
          <w:color w:val="auto"/>
        </w:rPr>
        <w:t>The Company leased office space in West Chester, Pennsylvania under an agreement classified as an operating lease that expired in May 2021. On July 1, 2019, the Company entered into a new lease for office space located in West Chester which was further amended on March 12, 2020 to include additional office space. The initial term will expire on September 1, 2027. Base rent over the initial term is approximately $2.4 million, and the Company is also responsible for its share of the landlord’s operating expense. At the commencement date of the new lease, the Company recorded a right-of-use asset of $1.9 million and a lease liability of $1.9 million on the condensed balance sheet.</w:t>
      </w:r>
    </w:p>
    <w:p>
      <w:pPr>
        <w:spacing w:after="0" w:line="176" w:lineRule="exact"/>
        <w:rPr>
          <w:sz w:val="20"/>
          <w:szCs w:val="20"/>
          <w:color w:val="auto"/>
        </w:rPr>
      </w:pPr>
    </w:p>
    <w:p>
      <w:pPr>
        <w:ind w:right="360" w:firstLine="510"/>
        <w:spacing w:after="0" w:line="277" w:lineRule="auto"/>
        <w:rPr>
          <w:sz w:val="20"/>
          <w:szCs w:val="20"/>
          <w:color w:val="auto"/>
        </w:rPr>
      </w:pPr>
      <w:r>
        <w:rPr>
          <w:rFonts w:ascii="Arial" w:cs="Arial" w:eastAsia="Arial" w:hAnsi="Arial"/>
          <w:sz w:val="18"/>
          <w:szCs w:val="18"/>
          <w:color w:val="auto"/>
        </w:rPr>
        <w:t>The Company leases vehicles under financing leases that expire through 2025. The net basis of the vehicle lease of $26 thousand is recorded as property and equipment on the condensed balance sheet.</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702" w:right="339" w:bottom="1440" w:gutter="0" w:footer="0" w:header="0"/>
        </w:sectPr>
      </w:pPr>
    </w:p>
    <w:bookmarkStart w:id="11" w:name="page12"/>
    <w:bookmarkEnd w:id="11"/>
    <w:p>
      <w:pPr>
        <w:ind w:left="520"/>
        <w:spacing w:after="0"/>
        <w:rPr>
          <w:sz w:val="20"/>
          <w:szCs w:val="20"/>
          <w:color w:val="auto"/>
        </w:rPr>
      </w:pPr>
      <w:r>
        <w:rPr>
          <w:rFonts w:ascii="Arial" w:cs="Arial" w:eastAsia="Arial" w:hAnsi="Arial"/>
          <w:sz w:val="18"/>
          <w:szCs w:val="18"/>
          <w:color w:val="auto"/>
        </w:rPr>
        <w:t>The components of lease expense are as follows (in thousands):</w:t>
      </w:r>
    </w:p>
    <w:p>
      <w:pPr>
        <w:spacing w:after="0" w:line="298" w:lineRule="exact"/>
        <w:rPr>
          <w:sz w:val="20"/>
          <w:szCs w:val="20"/>
          <w:color w:val="auto"/>
        </w:rPr>
      </w:pPr>
    </w:p>
    <w:tbl>
      <w:tblPr>
        <w:tblLayout w:type="fixed"/>
        <w:tblInd w:w="1700" w:type="dxa"/>
        <w:tblCellMar>
          <w:top w:w="0" w:type="dxa"/>
          <w:left w:w="0" w:type="dxa"/>
          <w:bottom w:w="0" w:type="dxa"/>
          <w:right w:w="0" w:type="dxa"/>
        </w:tblCellMar>
      </w:tblPr>
      <w:tr>
        <w:trPr>
          <w:trHeight w:val="171"/>
        </w:trPr>
        <w:tc>
          <w:tcPr>
            <w:tcW w:w="24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600" w:type="dxa"/>
            <w:vAlign w:val="bottom"/>
            <w:gridSpan w:val="6"/>
          </w:tcPr>
          <w:p>
            <w:pPr>
              <w:ind w:left="60"/>
              <w:spacing w:after="0"/>
              <w:rPr>
                <w:sz w:val="20"/>
                <w:szCs w:val="20"/>
                <w:color w:val="auto"/>
              </w:rPr>
            </w:pPr>
            <w:r>
              <w:rPr>
                <w:rFonts w:ascii="Arial" w:cs="Arial" w:eastAsia="Arial" w:hAnsi="Arial"/>
                <w:sz w:val="14"/>
                <w:szCs w:val="14"/>
                <w:b w:val="1"/>
                <w:bCs w:val="1"/>
                <w:color w:val="auto"/>
              </w:rPr>
              <w:t>For the Three Months Ended June 30,</w:t>
            </w:r>
          </w:p>
        </w:tc>
        <w:tc>
          <w:tcPr>
            <w:tcW w:w="120" w:type="dxa"/>
            <w:vAlign w:val="bottom"/>
          </w:tcPr>
          <w:p>
            <w:pPr>
              <w:spacing w:after="0"/>
              <w:rPr>
                <w:sz w:val="14"/>
                <w:szCs w:val="14"/>
                <w:color w:val="auto"/>
              </w:rPr>
            </w:pPr>
          </w:p>
        </w:tc>
        <w:tc>
          <w:tcPr>
            <w:tcW w:w="2420" w:type="dxa"/>
            <w:vAlign w:val="bottom"/>
            <w:gridSpan w:val="5"/>
          </w:tcPr>
          <w:p>
            <w:pPr>
              <w:ind w:left="20"/>
              <w:spacing w:after="0"/>
              <w:rPr>
                <w:sz w:val="20"/>
                <w:szCs w:val="20"/>
                <w:color w:val="auto"/>
              </w:rPr>
            </w:pPr>
            <w:r>
              <w:rPr>
                <w:rFonts w:ascii="Arial" w:cs="Arial" w:eastAsia="Arial" w:hAnsi="Arial"/>
                <w:sz w:val="14"/>
                <w:szCs w:val="14"/>
                <w:b w:val="1"/>
                <w:bCs w:val="1"/>
                <w:color w:val="auto"/>
              </w:rPr>
              <w:t>For the Six Months Ended June 30,</w:t>
            </w:r>
          </w:p>
        </w:tc>
        <w:tc>
          <w:tcPr>
            <w:tcW w:w="0" w:type="dxa"/>
            <w:vAlign w:val="bottom"/>
          </w:tcPr>
          <w:p>
            <w:pPr>
              <w:spacing w:after="0"/>
              <w:rPr>
                <w:sz w:val="1"/>
                <w:szCs w:val="1"/>
                <w:color w:val="auto"/>
              </w:rPr>
            </w:pPr>
          </w:p>
        </w:tc>
      </w:tr>
      <w:tr>
        <w:trPr>
          <w:trHeight w:val="156"/>
        </w:trPr>
        <w:tc>
          <w:tcPr>
            <w:tcW w:w="2400" w:type="dxa"/>
            <w:vAlign w:val="bottom"/>
            <w:vMerge w:val="restart"/>
          </w:tcPr>
          <w:p>
            <w:pPr>
              <w:spacing w:after="0"/>
              <w:rPr>
                <w:sz w:val="20"/>
                <w:szCs w:val="20"/>
                <w:color w:val="auto"/>
              </w:rPr>
            </w:pPr>
            <w:r>
              <w:rPr>
                <w:rFonts w:ascii="Arial" w:cs="Arial" w:eastAsia="Arial" w:hAnsi="Arial"/>
                <w:sz w:val="18"/>
                <w:szCs w:val="18"/>
                <w:color w:val="auto"/>
              </w:rPr>
              <w:t>Finance lease cost:</w:t>
            </w:r>
          </w:p>
        </w:tc>
        <w:tc>
          <w:tcPr>
            <w:tcW w:w="320" w:type="dxa"/>
            <w:vAlign w:val="bottom"/>
          </w:tcPr>
          <w:p>
            <w:pPr>
              <w:spacing w:after="0"/>
              <w:rPr>
                <w:sz w:val="13"/>
                <w:szCs w:val="13"/>
                <w:color w:val="auto"/>
              </w:rPr>
            </w:pPr>
          </w:p>
        </w:tc>
        <w:tc>
          <w:tcPr>
            <w:tcW w:w="860" w:type="dxa"/>
            <w:vAlign w:val="bottom"/>
            <w:tcBorders>
              <w:top w:val="single" w:sz="8" w:color="auto"/>
              <w:bottom w:val="single" w:sz="8" w:color="auto"/>
            </w:tcBorders>
          </w:tcPr>
          <w:p>
            <w:pPr>
              <w:jc w:val="right"/>
              <w:ind w:right="59"/>
              <w:spacing w:after="0" w:line="155" w:lineRule="exact"/>
              <w:rPr>
                <w:sz w:val="20"/>
                <w:szCs w:val="20"/>
                <w:color w:val="auto"/>
              </w:rPr>
            </w:pPr>
            <w:r>
              <w:rPr>
                <w:rFonts w:ascii="Arial" w:cs="Arial" w:eastAsia="Arial" w:hAnsi="Arial"/>
                <w:sz w:val="14"/>
                <w:szCs w:val="14"/>
                <w:b w:val="1"/>
                <w:bCs w:val="1"/>
                <w:color w:val="auto"/>
              </w:rPr>
              <w:t>2021</w:t>
            </w:r>
          </w:p>
        </w:tc>
        <w:tc>
          <w:tcPr>
            <w:tcW w:w="320" w:type="dxa"/>
            <w:vAlign w:val="bottom"/>
            <w:tcBorders>
              <w:top w:val="single" w:sz="8" w:color="auto"/>
              <w:bottom w:val="single" w:sz="8" w:color="auto"/>
            </w:tcBorders>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880" w:type="dxa"/>
            <w:vAlign w:val="bottom"/>
            <w:tcBorders>
              <w:top w:val="single" w:sz="8" w:color="auto"/>
              <w:bottom w:val="single" w:sz="8" w:color="auto"/>
            </w:tcBorders>
          </w:tcPr>
          <w:p>
            <w:pPr>
              <w:jc w:val="right"/>
              <w:ind w:right="353"/>
              <w:spacing w:after="0" w:line="155" w:lineRule="exact"/>
              <w:rPr>
                <w:sz w:val="20"/>
                <w:szCs w:val="20"/>
                <w:color w:val="auto"/>
              </w:rPr>
            </w:pPr>
            <w:r>
              <w:rPr>
                <w:rFonts w:ascii="Arial" w:cs="Arial" w:eastAsia="Arial" w:hAnsi="Arial"/>
                <w:sz w:val="14"/>
                <w:szCs w:val="14"/>
                <w:b w:val="1"/>
                <w:bCs w:val="1"/>
                <w:color w:val="auto"/>
              </w:rPr>
              <w:t>2020</w:t>
            </w:r>
          </w:p>
        </w:tc>
        <w:tc>
          <w:tcPr>
            <w:tcW w:w="14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1060" w:type="dxa"/>
            <w:vAlign w:val="bottom"/>
            <w:tcBorders>
              <w:top w:val="single" w:sz="8" w:color="auto"/>
              <w:bottom w:val="single" w:sz="8" w:color="auto"/>
            </w:tcBorders>
          </w:tcPr>
          <w:p>
            <w:pPr>
              <w:jc w:val="right"/>
              <w:ind w:right="355"/>
              <w:spacing w:after="0" w:line="155" w:lineRule="exact"/>
              <w:rPr>
                <w:sz w:val="20"/>
                <w:szCs w:val="20"/>
                <w:color w:val="auto"/>
              </w:rPr>
            </w:pPr>
            <w:r>
              <w:rPr>
                <w:rFonts w:ascii="Arial" w:cs="Arial" w:eastAsia="Arial" w:hAnsi="Arial"/>
                <w:sz w:val="14"/>
                <w:szCs w:val="14"/>
                <w:b w:val="1"/>
                <w:bCs w:val="1"/>
                <w:color w:val="auto"/>
              </w:rPr>
              <w:t>2021</w:t>
            </w:r>
          </w:p>
        </w:tc>
        <w:tc>
          <w:tcPr>
            <w:tcW w:w="160" w:type="dxa"/>
            <w:vAlign w:val="bottom"/>
            <w:tcBorders>
              <w:top w:val="single" w:sz="8" w:color="auto"/>
            </w:tcBorders>
          </w:tcPr>
          <w:p>
            <w:pPr>
              <w:spacing w:after="0"/>
              <w:rPr>
                <w:sz w:val="13"/>
                <w:szCs w:val="13"/>
                <w:color w:val="auto"/>
              </w:rPr>
            </w:pPr>
          </w:p>
        </w:tc>
        <w:tc>
          <w:tcPr>
            <w:tcW w:w="240" w:type="dxa"/>
            <w:vAlign w:val="bottom"/>
            <w:tcBorders>
              <w:top w:val="single" w:sz="8" w:color="auto"/>
              <w:bottom w:val="single" w:sz="8" w:color="auto"/>
            </w:tcBorders>
          </w:tcPr>
          <w:p>
            <w:pPr>
              <w:spacing w:after="0"/>
              <w:rPr>
                <w:sz w:val="13"/>
                <w:szCs w:val="13"/>
                <w:color w:val="auto"/>
              </w:rPr>
            </w:pPr>
          </w:p>
        </w:tc>
        <w:tc>
          <w:tcPr>
            <w:tcW w:w="880" w:type="dxa"/>
            <w:vAlign w:val="bottom"/>
            <w:tcBorders>
              <w:top w:val="single" w:sz="8" w:color="auto"/>
              <w:bottom w:val="single" w:sz="8" w:color="auto"/>
            </w:tcBorders>
          </w:tcPr>
          <w:p>
            <w:pPr>
              <w:jc w:val="right"/>
              <w:ind w:right="333"/>
              <w:spacing w:after="0" w:line="155" w:lineRule="exact"/>
              <w:rPr>
                <w:sz w:val="20"/>
                <w:szCs w:val="20"/>
                <w:color w:val="auto"/>
              </w:rPr>
            </w:pPr>
            <w:r>
              <w:rPr>
                <w:rFonts w:ascii="Arial" w:cs="Arial" w:eastAsia="Arial" w:hAnsi="Arial"/>
                <w:sz w:val="14"/>
                <w:szCs w:val="14"/>
                <w:b w:val="1"/>
                <w:bCs w:val="1"/>
                <w:color w:val="auto"/>
              </w:rPr>
              <w:t>2020</w:t>
            </w: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400" w:type="dxa"/>
            <w:vAlign w:val="bottom"/>
            <w:vMerge w:val="continue"/>
          </w:tcPr>
          <w:p>
            <w:pPr>
              <w:spacing w:after="0"/>
              <w:rPr>
                <w:sz w:val="19"/>
                <w:szCs w:val="19"/>
                <w:color w:val="auto"/>
              </w:rPr>
            </w:pPr>
          </w:p>
        </w:tc>
        <w:tc>
          <w:tcPr>
            <w:tcW w:w="3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4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Amortization lease assets</w:t>
            </w:r>
          </w:p>
        </w:tc>
        <w:tc>
          <w:tcPr>
            <w:tcW w:w="1180" w:type="dxa"/>
            <w:vAlign w:val="bottom"/>
            <w:gridSpan w:val="2"/>
            <w:shd w:val="clear" w:color="auto" w:fill="CFF0FC"/>
          </w:tcPr>
          <w:p>
            <w:pPr>
              <w:jc w:val="right"/>
              <w:ind w:right="679"/>
              <w:spacing w:after="0"/>
              <w:rPr>
                <w:sz w:val="20"/>
                <w:szCs w:val="20"/>
                <w:color w:val="auto"/>
              </w:rPr>
            </w:pPr>
            <w:r>
              <w:rPr>
                <w:rFonts w:ascii="Arial" w:cs="Arial" w:eastAsia="Arial" w:hAnsi="Arial"/>
                <w:sz w:val="18"/>
                <w:szCs w:val="18"/>
                <w:color w:val="auto"/>
              </w:rPr>
              <w:t>$</w:t>
            </w:r>
          </w:p>
        </w:tc>
        <w:tc>
          <w:tcPr>
            <w:tcW w:w="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w:t>
            </w:r>
          </w:p>
        </w:tc>
        <w:tc>
          <w:tcPr>
            <w:tcW w:w="400" w:type="dxa"/>
            <w:vAlign w:val="bottom"/>
            <w:gridSpan w:val="2"/>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87"/>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2400" w:type="dxa"/>
            <w:vAlign w:val="bottom"/>
          </w:tcPr>
          <w:p>
            <w:pPr>
              <w:ind w:left="240"/>
              <w:spacing w:after="0"/>
              <w:rPr>
                <w:sz w:val="20"/>
                <w:szCs w:val="20"/>
                <w:color w:val="auto"/>
              </w:rPr>
            </w:pPr>
            <w:r>
              <w:rPr>
                <w:rFonts w:ascii="Arial" w:cs="Arial" w:eastAsia="Arial" w:hAnsi="Arial"/>
                <w:sz w:val="18"/>
                <w:szCs w:val="18"/>
                <w:color w:val="auto"/>
              </w:rPr>
              <w:t>Finance lease costs</w:t>
            </w:r>
          </w:p>
        </w:tc>
        <w:tc>
          <w:tcPr>
            <w:tcW w:w="3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63"/>
        </w:trPr>
        <w:tc>
          <w:tcPr>
            <w:tcW w:w="24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 finance lease costs</w:t>
            </w:r>
          </w:p>
        </w:tc>
        <w:tc>
          <w:tcPr>
            <w:tcW w:w="320" w:type="dxa"/>
            <w:vAlign w:val="bottom"/>
            <w:tcBorders>
              <w:bottom w:val="single" w:sz="8" w:color="CFF0FC"/>
            </w:tcBorders>
          </w:tcPr>
          <w:p>
            <w:pPr>
              <w:spacing w:after="0"/>
              <w:rPr>
                <w:sz w:val="22"/>
                <w:szCs w:val="22"/>
                <w:color w:val="auto"/>
              </w:rPr>
            </w:pPr>
          </w:p>
        </w:tc>
        <w:tc>
          <w:tcPr>
            <w:tcW w:w="860" w:type="dxa"/>
            <w:vAlign w:val="bottom"/>
            <w:tcBorders>
              <w:top w:val="single" w:sz="8" w:color="auto"/>
              <w:bottom w:val="single" w:sz="8" w:color="auto"/>
            </w:tcBorders>
          </w:tcPr>
          <w:p>
            <w:pPr>
              <w:jc w:val="right"/>
              <w:ind w:right="679"/>
              <w:spacing w:after="0"/>
              <w:rPr>
                <w:sz w:val="20"/>
                <w:szCs w:val="20"/>
                <w:color w:val="auto"/>
              </w:rPr>
            </w:pPr>
            <w:r>
              <w:rPr>
                <w:rFonts w:ascii="Arial" w:cs="Arial" w:eastAsia="Arial" w:hAnsi="Arial"/>
                <w:sz w:val="18"/>
                <w:szCs w:val="18"/>
                <w:color w:val="auto"/>
                <w:w w:val="79"/>
              </w:rPr>
              <w:t>$</w:t>
            </w:r>
          </w:p>
        </w:tc>
        <w:tc>
          <w:tcPr>
            <w:tcW w:w="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w:t>
            </w:r>
          </w:p>
        </w:tc>
        <w:tc>
          <w:tcPr>
            <w:tcW w:w="140" w:type="dxa"/>
            <w:vAlign w:val="bottom"/>
            <w:tcBorders>
              <w:bottom w:val="single" w:sz="8" w:color="CFF0FC"/>
            </w:tcBorders>
          </w:tcPr>
          <w:p>
            <w:pPr>
              <w:spacing w:after="0"/>
              <w:rPr>
                <w:sz w:val="22"/>
                <w:szCs w:val="22"/>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FF0FC"/>
            </w:tcBorders>
          </w:tcPr>
          <w:p>
            <w:pPr>
              <w:spacing w:after="0"/>
              <w:rPr>
                <w:sz w:val="22"/>
                <w:szCs w:val="2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w:t>
            </w:r>
          </w:p>
        </w:tc>
        <w:tc>
          <w:tcPr>
            <w:tcW w:w="160" w:type="dxa"/>
            <w:vAlign w:val="bottom"/>
            <w:tcBorders>
              <w:bottom w:val="single" w:sz="8" w:color="CFF0FC"/>
            </w:tcBorders>
          </w:tcPr>
          <w:p>
            <w:pPr>
              <w:spacing w:after="0"/>
              <w:rPr>
                <w:sz w:val="22"/>
                <w:szCs w:val="22"/>
                <w:color w:val="auto"/>
              </w:rPr>
            </w:pPr>
          </w:p>
        </w:tc>
        <w:tc>
          <w:tcPr>
            <w:tcW w:w="240" w:type="dxa"/>
            <w:vAlign w:val="bottom"/>
            <w:tcBorders>
              <w:top w:val="single" w:sz="8" w:color="auto"/>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0" w:type="dxa"/>
            <w:vAlign w:val="bottom"/>
            <w:tcBorders>
              <w:bottom w:val="single" w:sz="8" w:color="CFF0FC"/>
            </w:tcBorders>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2400" w:type="dxa"/>
            <w:vAlign w:val="bottom"/>
            <w:shd w:val="clear" w:color="auto" w:fill="CFF0FC"/>
          </w:tcPr>
          <w:p>
            <w:pPr>
              <w:spacing w:after="0"/>
              <w:rPr>
                <w:sz w:val="20"/>
                <w:szCs w:val="20"/>
                <w:color w:val="auto"/>
              </w:rPr>
            </w:pPr>
            <w:r>
              <w:rPr>
                <w:rFonts w:ascii="Arial" w:cs="Arial" w:eastAsia="Arial" w:hAnsi="Arial"/>
                <w:sz w:val="18"/>
                <w:szCs w:val="18"/>
                <w:color w:val="auto"/>
              </w:rPr>
              <w:t>Operating lease:</w:t>
            </w:r>
          </w:p>
        </w:tc>
        <w:tc>
          <w:tcPr>
            <w:tcW w:w="32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06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2400" w:type="dxa"/>
            <w:vAlign w:val="bottom"/>
          </w:tcPr>
          <w:p>
            <w:pPr>
              <w:ind w:left="240"/>
              <w:spacing w:after="0"/>
              <w:rPr>
                <w:sz w:val="20"/>
                <w:szCs w:val="20"/>
                <w:color w:val="auto"/>
              </w:rPr>
            </w:pPr>
            <w:r>
              <w:rPr>
                <w:rFonts w:ascii="Arial" w:cs="Arial" w:eastAsia="Arial" w:hAnsi="Arial"/>
                <w:sz w:val="18"/>
                <w:szCs w:val="18"/>
                <w:color w:val="auto"/>
              </w:rPr>
              <w:t>Operating lease costs</w:t>
            </w:r>
          </w:p>
        </w:tc>
        <w:tc>
          <w:tcPr>
            <w:tcW w:w="1180" w:type="dxa"/>
            <w:vAlign w:val="bottom"/>
            <w:gridSpan w:val="2"/>
          </w:tcPr>
          <w:p>
            <w:pPr>
              <w:jc w:val="right"/>
              <w:ind w:right="679"/>
              <w:spacing w:after="0"/>
              <w:rPr>
                <w:sz w:val="20"/>
                <w:szCs w:val="20"/>
                <w:color w:val="auto"/>
              </w:rPr>
            </w:pPr>
            <w:r>
              <w:rPr>
                <w:rFonts w:ascii="Arial" w:cs="Arial" w:eastAsia="Arial" w:hAnsi="Arial"/>
                <w:sz w:val="18"/>
                <w:szCs w:val="18"/>
                <w:color w:val="auto"/>
              </w:rPr>
              <w:t>$</w:t>
            </w:r>
          </w:p>
        </w:tc>
        <w:tc>
          <w:tcPr>
            <w:tcW w:w="320" w:type="dxa"/>
            <w:vAlign w:val="bottom"/>
          </w:tcPr>
          <w:p>
            <w:pPr>
              <w:jc w:val="right"/>
              <w:spacing w:after="0"/>
              <w:rPr>
                <w:sz w:val="20"/>
                <w:szCs w:val="20"/>
                <w:color w:val="auto"/>
              </w:rPr>
            </w:pPr>
            <w:r>
              <w:rPr>
                <w:rFonts w:ascii="Arial" w:cs="Arial" w:eastAsia="Arial" w:hAnsi="Arial"/>
                <w:sz w:val="18"/>
                <w:szCs w:val="18"/>
                <w:color w:val="auto"/>
              </w:rPr>
              <w:t>84</w:t>
            </w:r>
          </w:p>
        </w:tc>
        <w:tc>
          <w:tcPr>
            <w:tcW w:w="40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47</w:t>
            </w:r>
          </w:p>
        </w:tc>
        <w:tc>
          <w:tcPr>
            <w:tcW w:w="14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175</w:t>
            </w:r>
          </w:p>
        </w:tc>
        <w:tc>
          <w:tcPr>
            <w:tcW w:w="160" w:type="dxa"/>
            <w:vAlign w:val="bottom"/>
          </w:tcPr>
          <w:p>
            <w:pPr>
              <w:spacing w:after="0"/>
              <w:rPr>
                <w:sz w:val="19"/>
                <w:szCs w:val="19"/>
                <w:color w:val="auto"/>
              </w:rPr>
            </w:pP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105</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24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Short-term lease costs</w:t>
            </w:r>
          </w:p>
        </w:tc>
        <w:tc>
          <w:tcPr>
            <w:tcW w:w="320" w:type="dxa"/>
            <w:vAlign w:val="bottom"/>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w:t>
            </w:r>
          </w:p>
        </w:tc>
        <w:tc>
          <w:tcPr>
            <w:tcW w:w="14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w:t>
            </w:r>
          </w:p>
        </w:tc>
        <w:tc>
          <w:tcPr>
            <w:tcW w:w="14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w:t>
            </w:r>
          </w:p>
        </w:tc>
        <w:tc>
          <w:tcPr>
            <w:tcW w:w="16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400" w:type="dxa"/>
            <w:vAlign w:val="bottom"/>
          </w:tcPr>
          <w:p>
            <w:pPr>
              <w:spacing w:after="0"/>
              <w:rPr>
                <w:sz w:val="20"/>
                <w:szCs w:val="20"/>
                <w:color w:val="auto"/>
              </w:rPr>
            </w:pPr>
            <w:r>
              <w:rPr>
                <w:rFonts w:ascii="Arial" w:cs="Arial" w:eastAsia="Arial" w:hAnsi="Arial"/>
                <w:sz w:val="18"/>
                <w:szCs w:val="18"/>
                <w:color w:val="auto"/>
              </w:rPr>
              <w:t>Total lease expense</w:t>
            </w:r>
          </w:p>
        </w:tc>
        <w:tc>
          <w:tcPr>
            <w:tcW w:w="320" w:type="dxa"/>
            <w:vAlign w:val="bottom"/>
          </w:tcPr>
          <w:p>
            <w:pPr>
              <w:spacing w:after="0"/>
              <w:rPr>
                <w:sz w:val="19"/>
                <w:szCs w:val="19"/>
                <w:color w:val="auto"/>
              </w:rPr>
            </w:pPr>
          </w:p>
        </w:tc>
        <w:tc>
          <w:tcPr>
            <w:tcW w:w="860" w:type="dxa"/>
            <w:vAlign w:val="bottom"/>
            <w:tcBorders>
              <w:bottom w:val="single" w:sz="8" w:color="auto"/>
            </w:tcBorders>
          </w:tcPr>
          <w:p>
            <w:pPr>
              <w:jc w:val="right"/>
              <w:ind w:right="679"/>
              <w:spacing w:after="0"/>
              <w:rPr>
                <w:sz w:val="20"/>
                <w:szCs w:val="20"/>
                <w:color w:val="auto"/>
              </w:rPr>
            </w:pPr>
            <w:r>
              <w:rPr>
                <w:rFonts w:ascii="Arial" w:cs="Arial" w:eastAsia="Arial" w:hAnsi="Arial"/>
                <w:sz w:val="18"/>
                <w:szCs w:val="18"/>
                <w:color w:val="auto"/>
                <w:w w:val="79"/>
              </w:rPr>
              <w:t>$</w:t>
            </w:r>
          </w:p>
        </w:tc>
        <w:tc>
          <w:tcPr>
            <w:tcW w:w="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w:t>
            </w:r>
          </w:p>
        </w:tc>
        <w:tc>
          <w:tcPr>
            <w:tcW w:w="140" w:type="dxa"/>
            <w:vAlign w:val="bottom"/>
          </w:tcPr>
          <w:p>
            <w:pPr>
              <w:spacing w:after="0"/>
              <w:rPr>
                <w:sz w:val="19"/>
                <w:szCs w:val="19"/>
                <w:color w:val="auto"/>
              </w:rPr>
            </w:pP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w:t>
            </w:r>
          </w:p>
        </w:tc>
        <w:tc>
          <w:tcPr>
            <w:tcW w:w="14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185</w:t>
            </w:r>
          </w:p>
        </w:tc>
        <w:tc>
          <w:tcPr>
            <w:tcW w:w="160" w:type="dxa"/>
            <w:vAlign w:val="bottom"/>
          </w:tcPr>
          <w:p>
            <w:pPr>
              <w:spacing w:after="0"/>
              <w:rPr>
                <w:sz w:val="19"/>
                <w:szCs w:val="19"/>
                <w:color w:val="auto"/>
              </w:rPr>
            </w:pPr>
          </w:p>
        </w:tc>
        <w:tc>
          <w:tcPr>
            <w:tcW w:w="240" w:type="dxa"/>
            <w:vAlign w:val="bottom"/>
            <w:tcBorders>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118</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4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ind w:left="520"/>
        <w:spacing w:after="0"/>
        <w:rPr>
          <w:sz w:val="20"/>
          <w:szCs w:val="20"/>
          <w:color w:val="auto"/>
        </w:rPr>
      </w:pPr>
      <w:r>
        <w:rPr>
          <w:rFonts w:ascii="Arial" w:cs="Arial" w:eastAsia="Arial" w:hAnsi="Arial"/>
          <w:sz w:val="17"/>
          <w:szCs w:val="17"/>
          <w:color w:val="auto"/>
        </w:rPr>
        <w:t>Maturities of the Company’s operating and finance leases, excluding short-term leases, as of June 30, 2021 are as follows (in thousands):</w:t>
      </w:r>
    </w:p>
    <w:p>
      <w:pPr>
        <w:spacing w:after="0" w:line="246" w:lineRule="exact"/>
        <w:rPr>
          <w:sz w:val="20"/>
          <w:szCs w:val="20"/>
          <w:color w:val="auto"/>
        </w:rPr>
      </w:pPr>
    </w:p>
    <w:tbl>
      <w:tblPr>
        <w:tblLayout w:type="fixed"/>
        <w:tblInd w:w="520" w:type="dxa"/>
        <w:tblCellMar>
          <w:top w:w="0" w:type="dxa"/>
          <w:left w:w="0" w:type="dxa"/>
          <w:bottom w:w="0" w:type="dxa"/>
          <w:right w:w="0" w:type="dxa"/>
        </w:tblCellMar>
      </w:tblPr>
      <w:tr>
        <w:trPr>
          <w:trHeight w:val="234"/>
        </w:trPr>
        <w:tc>
          <w:tcPr>
            <w:tcW w:w="60" w:type="dxa"/>
            <w:vAlign w:val="bottom"/>
          </w:tcPr>
          <w:p>
            <w:pPr>
              <w:spacing w:after="0"/>
              <w:rPr>
                <w:sz w:val="20"/>
                <w:szCs w:val="20"/>
                <w:color w:val="auto"/>
              </w:rPr>
            </w:pPr>
          </w:p>
        </w:tc>
        <w:tc>
          <w:tcPr>
            <w:tcW w:w="4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p>
        </w:tc>
        <w:tc>
          <w:tcPr>
            <w:tcW w:w="1680" w:type="dxa"/>
            <w:vAlign w:val="bottom"/>
            <w:tcBorders>
              <w:bottom w:val="single" w:sz="8" w:color="auto"/>
            </w:tcBorders>
            <w:gridSpan w:val="4"/>
          </w:tcPr>
          <w:p>
            <w:pPr>
              <w:ind w:left="320"/>
              <w:spacing w:after="0"/>
              <w:rPr>
                <w:sz w:val="20"/>
                <w:szCs w:val="20"/>
                <w:color w:val="auto"/>
              </w:rPr>
            </w:pPr>
            <w:r>
              <w:rPr>
                <w:rFonts w:ascii="Arial" w:cs="Arial" w:eastAsia="Arial" w:hAnsi="Arial"/>
                <w:sz w:val="18"/>
                <w:szCs w:val="18"/>
                <w:b w:val="1"/>
                <w:bCs w:val="1"/>
                <w:color w:val="auto"/>
              </w:rPr>
              <w:t>June 30, 2021</w:t>
            </w:r>
          </w:p>
        </w:tc>
        <w:tc>
          <w:tcPr>
            <w:tcW w:w="184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60" w:type="dxa"/>
            <w:vAlign w:val="bottom"/>
          </w:tcPr>
          <w:p>
            <w:pPr>
              <w:spacing w:after="0"/>
              <w:rPr>
                <w:sz w:val="19"/>
                <w:szCs w:val="19"/>
                <w:color w:val="auto"/>
              </w:rPr>
            </w:pPr>
          </w:p>
        </w:tc>
        <w:tc>
          <w:tcPr>
            <w:tcW w:w="4300" w:type="dxa"/>
            <w:vAlign w:val="bottom"/>
            <w:tcBorders>
              <w:bottom w:val="single" w:sz="8" w:color="CFF0FC"/>
            </w:tcBorders>
          </w:tcPr>
          <w:p>
            <w:pPr>
              <w:spacing w:after="0"/>
              <w:rPr>
                <w:sz w:val="19"/>
                <w:szCs w:val="19"/>
                <w:color w:val="auto"/>
              </w:rPr>
            </w:pPr>
          </w:p>
        </w:tc>
        <w:tc>
          <w:tcPr>
            <w:tcW w:w="220" w:type="dxa"/>
            <w:vAlign w:val="bottom"/>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ind w:left="160"/>
              <w:spacing w:after="0"/>
              <w:rPr>
                <w:sz w:val="20"/>
                <w:szCs w:val="20"/>
                <w:color w:val="auto"/>
              </w:rPr>
            </w:pPr>
            <w:r>
              <w:rPr>
                <w:rFonts w:ascii="Arial" w:cs="Arial" w:eastAsia="Arial" w:hAnsi="Arial"/>
                <w:sz w:val="18"/>
                <w:szCs w:val="18"/>
                <w:b w:val="1"/>
                <w:bCs w:val="1"/>
                <w:color w:val="auto"/>
              </w:rPr>
              <w:t>Operating</w:t>
            </w:r>
          </w:p>
        </w:tc>
        <w:tc>
          <w:tcPr>
            <w:tcW w:w="700" w:type="dxa"/>
            <w:vAlign w:val="bottom"/>
            <w:tcBorders>
              <w:bottom w:val="single" w:sz="8" w:color="auto"/>
            </w:tcBorders>
          </w:tcPr>
          <w:p>
            <w:pPr>
              <w:spacing w:after="0"/>
              <w:rPr>
                <w:sz w:val="19"/>
                <w:szCs w:val="19"/>
                <w:color w:val="auto"/>
              </w:rPr>
            </w:pPr>
          </w:p>
        </w:tc>
        <w:tc>
          <w:tcPr>
            <w:tcW w:w="3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920" w:type="dxa"/>
            <w:vAlign w:val="bottom"/>
            <w:tcBorders>
              <w:bottom w:val="single" w:sz="8" w:color="auto"/>
            </w:tcBorders>
            <w:gridSpan w:val="2"/>
          </w:tcPr>
          <w:p>
            <w:pPr>
              <w:jc w:val="right"/>
              <w:ind w:right="1000"/>
              <w:spacing w:after="0"/>
              <w:rPr>
                <w:sz w:val="20"/>
                <w:szCs w:val="20"/>
                <w:color w:val="auto"/>
              </w:rPr>
            </w:pPr>
            <w:r>
              <w:rPr>
                <w:rFonts w:ascii="Arial" w:cs="Arial" w:eastAsia="Arial" w:hAnsi="Arial"/>
                <w:sz w:val="18"/>
                <w:szCs w:val="18"/>
                <w:b w:val="1"/>
                <w:bCs w:val="1"/>
                <w:color w:val="auto"/>
              </w:rPr>
              <w:t>Finance</w:t>
            </w:r>
          </w:p>
        </w:tc>
        <w:tc>
          <w:tcPr>
            <w:tcW w:w="100" w:type="dxa"/>
            <w:vAlign w:val="bottom"/>
            <w:tcBorders>
              <w:bottom w:val="single" w:sz="8" w:color="CFF0FC"/>
            </w:tcBorders>
          </w:tcPr>
          <w:p>
            <w:pPr>
              <w:spacing w:after="0"/>
              <w:rPr>
                <w:sz w:val="19"/>
                <w:szCs w:val="19"/>
                <w:color w:val="auto"/>
              </w:rPr>
            </w:pPr>
          </w:p>
        </w:tc>
      </w:tr>
      <w:tr>
        <w:trPr>
          <w:trHeight w:val="223"/>
        </w:trPr>
        <w:tc>
          <w:tcPr>
            <w:tcW w:w="60" w:type="dxa"/>
            <w:vAlign w:val="bottom"/>
          </w:tcPr>
          <w:p>
            <w:pPr>
              <w:spacing w:after="0"/>
              <w:rPr>
                <w:sz w:val="19"/>
                <w:szCs w:val="19"/>
                <w:color w:val="auto"/>
              </w:rPr>
            </w:pPr>
          </w:p>
        </w:tc>
        <w:tc>
          <w:tcPr>
            <w:tcW w:w="4300" w:type="dxa"/>
            <w:vAlign w:val="bottom"/>
            <w:shd w:val="clear" w:color="auto" w:fill="CFF0FC"/>
          </w:tcPr>
          <w:p>
            <w:pPr>
              <w:spacing w:after="0"/>
              <w:rPr>
                <w:sz w:val="20"/>
                <w:szCs w:val="20"/>
                <w:color w:val="auto"/>
              </w:rPr>
            </w:pPr>
            <w:r>
              <w:rPr>
                <w:rFonts w:ascii="Arial" w:cs="Arial" w:eastAsia="Arial" w:hAnsi="Arial"/>
                <w:sz w:val="18"/>
                <w:szCs w:val="18"/>
                <w:color w:val="auto"/>
              </w:rPr>
              <w:t>2021 (remaining 6 months)</w:t>
            </w:r>
          </w:p>
        </w:tc>
        <w:tc>
          <w:tcPr>
            <w:tcW w:w="220" w:type="dxa"/>
            <w:vAlign w:val="bottom"/>
          </w:tcPr>
          <w:p>
            <w:pPr>
              <w:spacing w:after="0"/>
              <w:rPr>
                <w:sz w:val="19"/>
                <w:szCs w:val="19"/>
                <w:color w:val="auto"/>
              </w:rPr>
            </w:pPr>
          </w:p>
        </w:tc>
        <w:tc>
          <w:tcPr>
            <w:tcW w:w="72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170</w:t>
            </w:r>
          </w:p>
        </w:tc>
        <w:tc>
          <w:tcPr>
            <w:tcW w:w="3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9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4</w:t>
            </w:r>
          </w:p>
        </w:tc>
        <w:tc>
          <w:tcPr>
            <w:tcW w:w="100" w:type="dxa"/>
            <w:vAlign w:val="bottom"/>
            <w:shd w:val="clear" w:color="auto" w:fill="CFF0FC"/>
          </w:tcPr>
          <w:p>
            <w:pPr>
              <w:spacing w:after="0"/>
              <w:rPr>
                <w:sz w:val="19"/>
                <w:szCs w:val="19"/>
                <w:color w:val="auto"/>
              </w:rPr>
            </w:pPr>
          </w:p>
        </w:tc>
      </w:tr>
      <w:tr>
        <w:trPr>
          <w:trHeight w:val="230"/>
        </w:trPr>
        <w:tc>
          <w:tcPr>
            <w:tcW w:w="60" w:type="dxa"/>
            <w:vAlign w:val="bottom"/>
          </w:tcPr>
          <w:p>
            <w:pPr>
              <w:spacing w:after="0"/>
              <w:rPr>
                <w:sz w:val="19"/>
                <w:szCs w:val="19"/>
                <w:color w:val="auto"/>
              </w:rPr>
            </w:pPr>
          </w:p>
        </w:tc>
        <w:tc>
          <w:tcPr>
            <w:tcW w:w="4300" w:type="dxa"/>
            <w:vAlign w:val="bottom"/>
          </w:tcPr>
          <w:p>
            <w:pPr>
              <w:spacing w:after="0"/>
              <w:rPr>
                <w:sz w:val="20"/>
                <w:szCs w:val="20"/>
                <w:color w:val="auto"/>
              </w:rPr>
            </w:pPr>
            <w:r>
              <w:rPr>
                <w:rFonts w:ascii="Arial" w:cs="Arial" w:eastAsia="Arial" w:hAnsi="Arial"/>
                <w:sz w:val="18"/>
                <w:szCs w:val="18"/>
                <w:color w:val="auto"/>
              </w:rPr>
              <w:t>2022</w:t>
            </w:r>
          </w:p>
        </w:tc>
        <w:tc>
          <w:tcPr>
            <w:tcW w:w="2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343</w:t>
            </w: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920" w:type="dxa"/>
            <w:vAlign w:val="bottom"/>
            <w:gridSpan w:val="2"/>
          </w:tcPr>
          <w:p>
            <w:pPr>
              <w:jc w:val="right"/>
              <w:ind w:right="20"/>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19"/>
                <w:szCs w:val="19"/>
                <w:color w:val="auto"/>
              </w:rPr>
            </w:pPr>
          </w:p>
        </w:tc>
      </w:tr>
      <w:tr>
        <w:trPr>
          <w:trHeight w:val="229"/>
        </w:trPr>
        <w:tc>
          <w:tcPr>
            <w:tcW w:w="60" w:type="dxa"/>
            <w:vAlign w:val="bottom"/>
          </w:tcPr>
          <w:p>
            <w:pPr>
              <w:spacing w:after="0"/>
              <w:rPr>
                <w:sz w:val="19"/>
                <w:szCs w:val="19"/>
                <w:color w:val="auto"/>
              </w:rPr>
            </w:pPr>
          </w:p>
        </w:tc>
        <w:tc>
          <w:tcPr>
            <w:tcW w:w="4300" w:type="dxa"/>
            <w:vAlign w:val="bottom"/>
            <w:shd w:val="clear" w:color="auto" w:fill="CFF0FC"/>
          </w:tcPr>
          <w:p>
            <w:pPr>
              <w:spacing w:after="0"/>
              <w:rPr>
                <w:sz w:val="20"/>
                <w:szCs w:val="20"/>
                <w:color w:val="auto"/>
              </w:rPr>
            </w:pPr>
            <w:r>
              <w:rPr>
                <w:rFonts w:ascii="Arial" w:cs="Arial" w:eastAsia="Arial" w:hAnsi="Arial"/>
                <w:sz w:val="18"/>
                <w:szCs w:val="18"/>
                <w:color w:val="auto"/>
              </w:rPr>
              <w:t>2023</w:t>
            </w:r>
          </w:p>
        </w:tc>
        <w:tc>
          <w:tcPr>
            <w:tcW w:w="220" w:type="dxa"/>
            <w:vAlign w:val="bottom"/>
          </w:tcPr>
          <w:p>
            <w:pPr>
              <w:spacing w:after="0"/>
              <w:rPr>
                <w:sz w:val="19"/>
                <w:szCs w:val="19"/>
                <w:color w:val="auto"/>
              </w:rPr>
            </w:pPr>
          </w:p>
        </w:tc>
        <w:tc>
          <w:tcPr>
            <w:tcW w:w="72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349</w:t>
            </w:r>
          </w:p>
        </w:tc>
        <w:tc>
          <w:tcPr>
            <w:tcW w:w="3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9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7</w:t>
            </w:r>
          </w:p>
        </w:tc>
        <w:tc>
          <w:tcPr>
            <w:tcW w:w="100" w:type="dxa"/>
            <w:vAlign w:val="bottom"/>
            <w:shd w:val="clear" w:color="auto" w:fill="CFF0FC"/>
          </w:tcPr>
          <w:p>
            <w:pPr>
              <w:spacing w:after="0"/>
              <w:rPr>
                <w:sz w:val="19"/>
                <w:szCs w:val="19"/>
                <w:color w:val="auto"/>
              </w:rPr>
            </w:pPr>
          </w:p>
        </w:tc>
      </w:tr>
      <w:tr>
        <w:trPr>
          <w:trHeight w:val="229"/>
        </w:trPr>
        <w:tc>
          <w:tcPr>
            <w:tcW w:w="60" w:type="dxa"/>
            <w:vAlign w:val="bottom"/>
          </w:tcPr>
          <w:p>
            <w:pPr>
              <w:spacing w:after="0"/>
              <w:rPr>
                <w:sz w:val="19"/>
                <w:szCs w:val="19"/>
                <w:color w:val="auto"/>
              </w:rPr>
            </w:pPr>
          </w:p>
        </w:tc>
        <w:tc>
          <w:tcPr>
            <w:tcW w:w="4300" w:type="dxa"/>
            <w:vAlign w:val="bottom"/>
          </w:tcPr>
          <w:p>
            <w:pPr>
              <w:spacing w:after="0"/>
              <w:rPr>
                <w:sz w:val="20"/>
                <w:szCs w:val="20"/>
                <w:color w:val="auto"/>
              </w:rPr>
            </w:pPr>
            <w:r>
              <w:rPr>
                <w:rFonts w:ascii="Arial" w:cs="Arial" w:eastAsia="Arial" w:hAnsi="Arial"/>
                <w:sz w:val="18"/>
                <w:szCs w:val="18"/>
                <w:color w:val="auto"/>
              </w:rPr>
              <w:t>2024</w:t>
            </w:r>
          </w:p>
        </w:tc>
        <w:tc>
          <w:tcPr>
            <w:tcW w:w="2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355</w:t>
            </w: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920" w:type="dxa"/>
            <w:vAlign w:val="bottom"/>
            <w:gridSpan w:val="2"/>
          </w:tcPr>
          <w:p>
            <w:pPr>
              <w:jc w:val="right"/>
              <w:ind w:right="20"/>
              <w:spacing w:after="0"/>
              <w:rPr>
                <w:sz w:val="20"/>
                <w:szCs w:val="20"/>
                <w:color w:val="auto"/>
              </w:rPr>
            </w:pPr>
            <w:r>
              <w:rPr>
                <w:rFonts w:ascii="Arial" w:cs="Arial" w:eastAsia="Arial" w:hAnsi="Arial"/>
                <w:sz w:val="18"/>
                <w:szCs w:val="18"/>
                <w:color w:val="auto"/>
              </w:rPr>
              <w:t>8</w:t>
            </w:r>
          </w:p>
        </w:tc>
        <w:tc>
          <w:tcPr>
            <w:tcW w:w="100" w:type="dxa"/>
            <w:vAlign w:val="bottom"/>
          </w:tcPr>
          <w:p>
            <w:pPr>
              <w:spacing w:after="0"/>
              <w:rPr>
                <w:sz w:val="19"/>
                <w:szCs w:val="19"/>
                <w:color w:val="auto"/>
              </w:rPr>
            </w:pPr>
          </w:p>
        </w:tc>
      </w:tr>
      <w:tr>
        <w:trPr>
          <w:trHeight w:val="230"/>
        </w:trPr>
        <w:tc>
          <w:tcPr>
            <w:tcW w:w="60" w:type="dxa"/>
            <w:vAlign w:val="bottom"/>
          </w:tcPr>
          <w:p>
            <w:pPr>
              <w:spacing w:after="0"/>
              <w:rPr>
                <w:sz w:val="19"/>
                <w:szCs w:val="19"/>
                <w:color w:val="auto"/>
              </w:rPr>
            </w:pPr>
          </w:p>
        </w:tc>
        <w:tc>
          <w:tcPr>
            <w:tcW w:w="4300" w:type="dxa"/>
            <w:vAlign w:val="bottom"/>
            <w:shd w:val="clear" w:color="auto" w:fill="CFF0FC"/>
          </w:tcPr>
          <w:p>
            <w:pPr>
              <w:spacing w:after="0"/>
              <w:rPr>
                <w:sz w:val="20"/>
                <w:szCs w:val="20"/>
                <w:color w:val="auto"/>
              </w:rPr>
            </w:pPr>
            <w:r>
              <w:rPr>
                <w:rFonts w:ascii="Arial" w:cs="Arial" w:eastAsia="Arial" w:hAnsi="Arial"/>
                <w:sz w:val="18"/>
                <w:szCs w:val="18"/>
                <w:color w:val="auto"/>
              </w:rPr>
              <w:t>2025</w:t>
            </w:r>
          </w:p>
        </w:tc>
        <w:tc>
          <w:tcPr>
            <w:tcW w:w="220" w:type="dxa"/>
            <w:vAlign w:val="bottom"/>
          </w:tcPr>
          <w:p>
            <w:pPr>
              <w:spacing w:after="0"/>
              <w:rPr>
                <w:sz w:val="19"/>
                <w:szCs w:val="19"/>
                <w:color w:val="auto"/>
              </w:rPr>
            </w:pPr>
          </w:p>
        </w:tc>
        <w:tc>
          <w:tcPr>
            <w:tcW w:w="72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360</w:t>
            </w:r>
          </w:p>
        </w:tc>
        <w:tc>
          <w:tcPr>
            <w:tcW w:w="3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9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2</w:t>
            </w:r>
          </w:p>
        </w:tc>
        <w:tc>
          <w:tcPr>
            <w:tcW w:w="100" w:type="dxa"/>
            <w:vAlign w:val="bottom"/>
            <w:shd w:val="clear" w:color="auto" w:fill="CFF0FC"/>
          </w:tcPr>
          <w:p>
            <w:pPr>
              <w:spacing w:after="0"/>
              <w:rPr>
                <w:sz w:val="19"/>
                <w:szCs w:val="19"/>
                <w:color w:val="auto"/>
              </w:rPr>
            </w:pPr>
          </w:p>
        </w:tc>
      </w:tr>
      <w:tr>
        <w:trPr>
          <w:trHeight w:val="229"/>
        </w:trPr>
        <w:tc>
          <w:tcPr>
            <w:tcW w:w="60" w:type="dxa"/>
            <w:vAlign w:val="bottom"/>
          </w:tcPr>
          <w:p>
            <w:pPr>
              <w:spacing w:after="0"/>
              <w:rPr>
                <w:sz w:val="19"/>
                <w:szCs w:val="19"/>
                <w:color w:val="auto"/>
              </w:rPr>
            </w:pPr>
          </w:p>
        </w:tc>
        <w:tc>
          <w:tcPr>
            <w:tcW w:w="4300" w:type="dxa"/>
            <w:vAlign w:val="bottom"/>
          </w:tcPr>
          <w:p>
            <w:pPr>
              <w:spacing w:after="0"/>
              <w:rPr>
                <w:sz w:val="20"/>
                <w:szCs w:val="20"/>
                <w:color w:val="auto"/>
              </w:rPr>
            </w:pPr>
            <w:r>
              <w:rPr>
                <w:rFonts w:ascii="Arial" w:cs="Arial" w:eastAsia="Arial" w:hAnsi="Arial"/>
                <w:sz w:val="18"/>
                <w:szCs w:val="18"/>
                <w:color w:val="auto"/>
              </w:rPr>
              <w:t>Thereafter</w:t>
            </w:r>
          </w:p>
        </w:tc>
        <w:tc>
          <w:tcPr>
            <w:tcW w:w="2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614</w:t>
            </w: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20" w:type="dxa"/>
            <w:vAlign w:val="bottom"/>
            <w:gridSpan w:val="3"/>
          </w:tcPr>
          <w:p>
            <w:pPr>
              <w:jc w:val="right"/>
              <w:ind w:right="120"/>
              <w:spacing w:after="0"/>
              <w:rPr>
                <w:sz w:val="20"/>
                <w:szCs w:val="20"/>
                <w:color w:val="auto"/>
              </w:rPr>
            </w:pPr>
            <w:r>
              <w:rPr>
                <w:rFonts w:ascii="Arial" w:cs="Arial" w:eastAsia="Arial" w:hAnsi="Arial"/>
                <w:sz w:val="18"/>
                <w:szCs w:val="18"/>
                <w:color w:val="auto"/>
              </w:rPr>
              <w:t>—</w:t>
            </w:r>
          </w:p>
        </w:tc>
      </w:tr>
      <w:tr>
        <w:trPr>
          <w:trHeight w:val="223"/>
        </w:trPr>
        <w:tc>
          <w:tcPr>
            <w:tcW w:w="60" w:type="dxa"/>
            <w:vAlign w:val="bottom"/>
          </w:tcPr>
          <w:p>
            <w:pPr>
              <w:spacing w:after="0"/>
              <w:rPr>
                <w:sz w:val="19"/>
                <w:szCs w:val="19"/>
                <w:color w:val="auto"/>
              </w:rPr>
            </w:pPr>
          </w:p>
        </w:tc>
        <w:tc>
          <w:tcPr>
            <w:tcW w:w="43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lease payments</w:t>
            </w:r>
          </w:p>
        </w:tc>
        <w:tc>
          <w:tcPr>
            <w:tcW w:w="220" w:type="dxa"/>
            <w:vAlign w:val="bottom"/>
            <w:tcBorders>
              <w:top w:val="single" w:sz="8" w:color="CFF0FC"/>
            </w:tcBorders>
            <w:shd w:val="clear" w:color="auto" w:fill="CFF0FC"/>
          </w:tcPr>
          <w:p>
            <w:pPr>
              <w:spacing w:after="0"/>
              <w:rPr>
                <w:sz w:val="19"/>
                <w:szCs w:val="19"/>
                <w:color w:val="auto"/>
              </w:rPr>
            </w:pPr>
          </w:p>
        </w:tc>
        <w:tc>
          <w:tcPr>
            <w:tcW w:w="720" w:type="dxa"/>
            <w:vAlign w:val="bottom"/>
            <w:tcBorders>
              <w:top w:val="single" w:sz="8" w:color="auto"/>
            </w:tcBorders>
            <w:shd w:val="clear" w:color="auto" w:fill="CFF0FC"/>
          </w:tcPr>
          <w:p>
            <w:pPr>
              <w:spacing w:after="0"/>
              <w:rPr>
                <w:sz w:val="19"/>
                <w:szCs w:val="19"/>
                <w:color w:val="auto"/>
              </w:rPr>
            </w:pPr>
          </w:p>
        </w:tc>
        <w:tc>
          <w:tcPr>
            <w:tcW w:w="1160" w:type="dxa"/>
            <w:vAlign w:val="bottom"/>
            <w:tcBorders>
              <w:top w:val="single" w:sz="8" w:color="auto"/>
            </w:tcBorders>
            <w:shd w:val="clear" w:color="auto" w:fill="CFF0FC"/>
          </w:tcPr>
          <w:p>
            <w:pPr>
              <w:spacing w:after="0"/>
              <w:rPr>
                <w:sz w:val="19"/>
                <w:szCs w:val="19"/>
                <w:color w:val="auto"/>
              </w:rPr>
            </w:pPr>
          </w:p>
        </w:tc>
        <w:tc>
          <w:tcPr>
            <w:tcW w:w="7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2,191</w:t>
            </w:r>
          </w:p>
        </w:tc>
        <w:tc>
          <w:tcPr>
            <w:tcW w:w="30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spacing w:after="0"/>
              <w:rPr>
                <w:sz w:val="19"/>
                <w:szCs w:val="19"/>
                <w:color w:val="auto"/>
              </w:rPr>
            </w:pPr>
          </w:p>
        </w:tc>
        <w:tc>
          <w:tcPr>
            <w:tcW w:w="1920" w:type="dxa"/>
            <w:vAlign w:val="bottom"/>
            <w:tcBorders>
              <w:top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28</w:t>
            </w:r>
          </w:p>
        </w:tc>
        <w:tc>
          <w:tcPr>
            <w:tcW w:w="100" w:type="dxa"/>
            <w:vAlign w:val="bottom"/>
            <w:tcBorders>
              <w:top w:val="single" w:sz="8" w:color="CFF0FC"/>
            </w:tcBorders>
            <w:shd w:val="clear" w:color="auto" w:fill="CFF0FC"/>
          </w:tcPr>
          <w:p>
            <w:pPr>
              <w:spacing w:after="0"/>
              <w:rPr>
                <w:sz w:val="19"/>
                <w:szCs w:val="19"/>
                <w:color w:val="auto"/>
              </w:rPr>
            </w:pPr>
          </w:p>
        </w:tc>
      </w:tr>
      <w:tr>
        <w:trPr>
          <w:trHeight w:val="229"/>
        </w:trPr>
        <w:tc>
          <w:tcPr>
            <w:tcW w:w="60" w:type="dxa"/>
            <w:vAlign w:val="bottom"/>
          </w:tcPr>
          <w:p>
            <w:pPr>
              <w:spacing w:after="0"/>
              <w:rPr>
                <w:sz w:val="19"/>
                <w:szCs w:val="19"/>
                <w:color w:val="auto"/>
              </w:rPr>
            </w:pPr>
          </w:p>
        </w:tc>
        <w:tc>
          <w:tcPr>
            <w:tcW w:w="4300" w:type="dxa"/>
            <w:vAlign w:val="bottom"/>
          </w:tcPr>
          <w:p>
            <w:pPr>
              <w:spacing w:after="0"/>
              <w:rPr>
                <w:sz w:val="20"/>
                <w:szCs w:val="20"/>
                <w:color w:val="auto"/>
              </w:rPr>
            </w:pPr>
            <w:r>
              <w:rPr>
                <w:rFonts w:ascii="Arial" w:cs="Arial" w:eastAsia="Arial" w:hAnsi="Arial"/>
                <w:sz w:val="18"/>
                <w:szCs w:val="18"/>
                <w:color w:val="auto"/>
              </w:rPr>
              <w:t>Less imputed interest</w:t>
            </w:r>
          </w:p>
        </w:tc>
        <w:tc>
          <w:tcPr>
            <w:tcW w:w="2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8"/>
                <w:szCs w:val="18"/>
                <w:color w:val="auto"/>
              </w:rPr>
              <w:t>(383)</w:t>
            </w:r>
          </w:p>
        </w:tc>
        <w:tc>
          <w:tcPr>
            <w:tcW w:w="3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20" w:type="dxa"/>
            <w:vAlign w:val="bottom"/>
            <w:gridSpan w:val="3"/>
          </w:tcPr>
          <w:p>
            <w:pPr>
              <w:jc w:val="right"/>
              <w:ind w:right="40"/>
              <w:spacing w:after="0"/>
              <w:rPr>
                <w:sz w:val="20"/>
                <w:szCs w:val="20"/>
                <w:color w:val="auto"/>
              </w:rPr>
            </w:pPr>
            <w:r>
              <w:rPr>
                <w:rFonts w:ascii="Arial" w:cs="Arial" w:eastAsia="Arial" w:hAnsi="Arial"/>
                <w:sz w:val="18"/>
                <w:szCs w:val="18"/>
                <w:color w:val="auto"/>
              </w:rPr>
              <w:t>(2)</w:t>
            </w:r>
          </w:p>
        </w:tc>
      </w:tr>
      <w:tr>
        <w:trPr>
          <w:trHeight w:val="223"/>
        </w:trPr>
        <w:tc>
          <w:tcPr>
            <w:tcW w:w="60" w:type="dxa"/>
            <w:vAlign w:val="bottom"/>
          </w:tcPr>
          <w:p>
            <w:pPr>
              <w:spacing w:after="0"/>
              <w:rPr>
                <w:sz w:val="19"/>
                <w:szCs w:val="19"/>
                <w:color w:val="auto"/>
              </w:rPr>
            </w:pPr>
          </w:p>
        </w:tc>
        <w:tc>
          <w:tcPr>
            <w:tcW w:w="430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Lease liability</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720" w:type="dxa"/>
            <w:vAlign w:val="bottom"/>
            <w:tcBorders>
              <w:top w:val="single" w:sz="8" w:color="auto"/>
              <w:bottom w:val="single" w:sz="8" w:color="auto"/>
            </w:tcBorders>
            <w:shd w:val="clear" w:color="auto" w:fill="CFF0FC"/>
          </w:tcPr>
          <w:p>
            <w:pPr>
              <w:jc w:val="right"/>
              <w:ind w:right="567"/>
              <w:spacing w:after="0"/>
              <w:rPr>
                <w:sz w:val="20"/>
                <w:szCs w:val="20"/>
                <w:color w:val="auto"/>
              </w:rPr>
            </w:pPr>
            <w:r>
              <w:rPr>
                <w:rFonts w:ascii="Arial" w:cs="Arial" w:eastAsia="Arial" w:hAnsi="Arial"/>
                <w:sz w:val="15"/>
                <w:szCs w:val="15"/>
                <w:color w:val="auto"/>
                <w:w w:val="71"/>
              </w:rPr>
              <w:t>$</w:t>
            </w:r>
          </w:p>
        </w:tc>
        <w:tc>
          <w:tcPr>
            <w:tcW w:w="1160" w:type="dxa"/>
            <w:vAlign w:val="bottom"/>
            <w:tcBorders>
              <w:top w:val="single" w:sz="8" w:color="auto"/>
              <w:bottom w:val="single" w:sz="8" w:color="auto"/>
            </w:tcBorders>
            <w:shd w:val="clear" w:color="auto" w:fill="CFF0FC"/>
          </w:tcPr>
          <w:p>
            <w:pPr>
              <w:spacing w:after="0"/>
              <w:rPr>
                <w:sz w:val="19"/>
                <w:szCs w:val="19"/>
                <w:color w:val="auto"/>
              </w:rPr>
            </w:pPr>
          </w:p>
        </w:tc>
        <w:tc>
          <w:tcPr>
            <w:tcW w:w="7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1,808</w:t>
            </w:r>
          </w:p>
        </w:tc>
        <w:tc>
          <w:tcPr>
            <w:tcW w:w="300" w:type="dxa"/>
            <w:vAlign w:val="bottom"/>
            <w:tcBorders>
              <w:top w:val="single" w:sz="8" w:color="CFF0FC"/>
              <w:bottom w:val="single" w:sz="8" w:color="CFF0FC"/>
            </w:tcBorders>
            <w:shd w:val="clear" w:color="auto" w:fill="CFF0FC"/>
          </w:tcPr>
          <w:p>
            <w:pPr>
              <w:spacing w:after="0"/>
              <w:rPr>
                <w:sz w:val="19"/>
                <w:szCs w:val="19"/>
                <w:color w:val="auto"/>
              </w:rPr>
            </w:pPr>
          </w:p>
        </w:tc>
        <w:tc>
          <w:tcPr>
            <w:tcW w:w="340" w:type="dxa"/>
            <w:vAlign w:val="bottom"/>
            <w:tcBorders>
              <w:top w:val="single" w:sz="8" w:color="auto"/>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340" w:type="dxa"/>
            <w:vAlign w:val="bottom"/>
            <w:tcBorders>
              <w:top w:val="single" w:sz="8" w:color="auto"/>
              <w:bottom w:val="single" w:sz="8" w:color="auto"/>
            </w:tcBorders>
            <w:shd w:val="clear" w:color="auto" w:fill="CFF0FC"/>
          </w:tcPr>
          <w:p>
            <w:pPr>
              <w:spacing w:after="0"/>
              <w:rPr>
                <w:sz w:val="19"/>
                <w:szCs w:val="19"/>
                <w:color w:val="auto"/>
              </w:rPr>
            </w:pPr>
          </w:p>
        </w:tc>
        <w:tc>
          <w:tcPr>
            <w:tcW w:w="1920" w:type="dxa"/>
            <w:vAlign w:val="bottom"/>
            <w:tcBorders>
              <w:top w:val="single" w:sz="8" w:color="auto"/>
              <w:bottom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26</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4580" w:type="dxa"/>
            <w:vAlign w:val="bottom"/>
            <w:gridSpan w:val="3"/>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8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628"/>
        </w:trPr>
        <w:tc>
          <w:tcPr>
            <w:tcW w:w="6460" w:type="dxa"/>
            <w:vAlign w:val="bottom"/>
            <w:gridSpan w:val="5"/>
          </w:tcPr>
          <w:p>
            <w:pPr>
              <w:spacing w:after="0"/>
              <w:rPr>
                <w:sz w:val="20"/>
                <w:szCs w:val="20"/>
                <w:color w:val="auto"/>
              </w:rPr>
            </w:pPr>
            <w:r>
              <w:rPr>
                <w:rFonts w:ascii="Arial" w:cs="Arial" w:eastAsia="Arial" w:hAnsi="Arial"/>
                <w:sz w:val="18"/>
                <w:szCs w:val="18"/>
                <w:color w:val="auto"/>
              </w:rPr>
              <w:t>The weighted average remaining term and discount rate are as follows:</w:t>
            </w:r>
          </w:p>
        </w:tc>
        <w:tc>
          <w:tcPr>
            <w:tcW w:w="7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60" w:type="dxa"/>
            <w:vAlign w:val="bottom"/>
          </w:tcPr>
          <w:p>
            <w:pPr>
              <w:spacing w:after="0"/>
              <w:rPr>
                <w:sz w:val="18"/>
                <w:szCs w:val="18"/>
                <w:color w:val="auto"/>
              </w:rPr>
            </w:pPr>
          </w:p>
        </w:tc>
        <w:tc>
          <w:tcPr>
            <w:tcW w:w="4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0" w:type="dxa"/>
            <w:vAlign w:val="bottom"/>
            <w:gridSpan w:val="2"/>
          </w:tcPr>
          <w:p>
            <w:pPr>
              <w:spacing w:after="0"/>
              <w:rPr>
                <w:sz w:val="18"/>
                <w:szCs w:val="18"/>
                <w:color w:val="auto"/>
              </w:rPr>
            </w:pPr>
          </w:p>
        </w:tc>
        <w:tc>
          <w:tcPr>
            <w:tcW w:w="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180" w:type="dxa"/>
            <w:vAlign w:val="bottom"/>
            <w:gridSpan w:val="2"/>
          </w:tcPr>
          <w:p>
            <w:pPr>
              <w:spacing w:after="0"/>
              <w:rPr>
                <w:sz w:val="18"/>
                <w:szCs w:val="18"/>
                <w:color w:val="auto"/>
              </w:rPr>
            </w:pPr>
          </w:p>
        </w:tc>
      </w:tr>
      <w:tr>
        <w:trPr>
          <w:trHeight w:val="230"/>
        </w:trPr>
        <w:tc>
          <w:tcPr>
            <w:tcW w:w="60" w:type="dxa"/>
            <w:vAlign w:val="bottom"/>
          </w:tcPr>
          <w:p>
            <w:pPr>
              <w:spacing w:after="0"/>
              <w:rPr>
                <w:sz w:val="19"/>
                <w:szCs w:val="19"/>
                <w:color w:val="auto"/>
              </w:rPr>
            </w:pPr>
          </w:p>
        </w:tc>
        <w:tc>
          <w:tcPr>
            <w:tcW w:w="43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Other information:</w:t>
            </w:r>
          </w:p>
        </w:tc>
        <w:tc>
          <w:tcPr>
            <w:tcW w:w="22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ind w:left="200"/>
              <w:spacing w:after="0"/>
              <w:rPr>
                <w:sz w:val="20"/>
                <w:szCs w:val="20"/>
                <w:color w:val="auto"/>
              </w:rPr>
            </w:pPr>
            <w:r>
              <w:rPr>
                <w:rFonts w:ascii="Arial" w:cs="Arial" w:eastAsia="Arial" w:hAnsi="Arial"/>
                <w:sz w:val="18"/>
                <w:szCs w:val="18"/>
                <w:b w:val="1"/>
                <w:bCs w:val="1"/>
                <w:color w:val="auto"/>
                <w:w w:val="91"/>
              </w:rPr>
              <w:t>Operating</w:t>
            </w:r>
          </w:p>
        </w:tc>
        <w:tc>
          <w:tcPr>
            <w:tcW w:w="3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2020" w:type="dxa"/>
            <w:vAlign w:val="bottom"/>
            <w:gridSpan w:val="3"/>
            <w:shd w:val="clear" w:color="auto" w:fill="CCEEFF"/>
          </w:tcPr>
          <w:p>
            <w:pPr>
              <w:ind w:left="1220"/>
              <w:spacing w:after="0"/>
              <w:rPr>
                <w:sz w:val="20"/>
                <w:szCs w:val="20"/>
                <w:color w:val="auto"/>
              </w:rPr>
            </w:pPr>
            <w:r>
              <w:rPr>
                <w:rFonts w:ascii="Arial" w:cs="Arial" w:eastAsia="Arial" w:hAnsi="Arial"/>
                <w:sz w:val="18"/>
                <w:szCs w:val="18"/>
                <w:b w:val="1"/>
                <w:bCs w:val="1"/>
                <w:color w:val="auto"/>
              </w:rPr>
              <w:t>Finance</w:t>
            </w:r>
          </w:p>
        </w:tc>
      </w:tr>
      <w:tr>
        <w:trPr>
          <w:trHeight w:val="223"/>
        </w:trPr>
        <w:tc>
          <w:tcPr>
            <w:tcW w:w="60" w:type="dxa"/>
            <w:vAlign w:val="bottom"/>
          </w:tcPr>
          <w:p>
            <w:pPr>
              <w:spacing w:after="0"/>
              <w:rPr>
                <w:sz w:val="19"/>
                <w:szCs w:val="19"/>
                <w:color w:val="auto"/>
              </w:rPr>
            </w:pPr>
          </w:p>
        </w:tc>
        <w:tc>
          <w:tcPr>
            <w:tcW w:w="4300" w:type="dxa"/>
            <w:vAlign w:val="bottom"/>
          </w:tcPr>
          <w:p>
            <w:pPr>
              <w:spacing w:after="0"/>
              <w:rPr>
                <w:sz w:val="20"/>
                <w:szCs w:val="20"/>
                <w:color w:val="auto"/>
              </w:rPr>
            </w:pPr>
            <w:r>
              <w:rPr>
                <w:rFonts w:ascii="Arial" w:cs="Arial" w:eastAsia="Arial" w:hAnsi="Arial"/>
                <w:sz w:val="18"/>
                <w:szCs w:val="18"/>
                <w:color w:val="auto"/>
              </w:rPr>
              <w:t>Weighted average remaining lease term</w:t>
            </w:r>
          </w:p>
        </w:tc>
        <w:tc>
          <w:tcPr>
            <w:tcW w:w="2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160" w:type="dxa"/>
            <w:vAlign w:val="bottom"/>
            <w:tcBorders>
              <w:top w:val="single" w:sz="8" w:color="auto"/>
            </w:tcBorders>
          </w:tcPr>
          <w:p>
            <w:pPr>
              <w:spacing w:after="0"/>
              <w:rPr>
                <w:sz w:val="19"/>
                <w:szCs w:val="19"/>
                <w:color w:val="auto"/>
              </w:rPr>
            </w:pPr>
          </w:p>
        </w:tc>
        <w:tc>
          <w:tcPr>
            <w:tcW w:w="1000" w:type="dxa"/>
            <w:vAlign w:val="bottom"/>
            <w:tcBorders>
              <w:top w:val="single" w:sz="8" w:color="auto"/>
            </w:tcBorders>
            <w:gridSpan w:val="2"/>
          </w:tcPr>
          <w:p>
            <w:pPr>
              <w:ind w:left="680"/>
              <w:spacing w:after="0"/>
              <w:rPr>
                <w:sz w:val="20"/>
                <w:szCs w:val="20"/>
                <w:color w:val="auto"/>
              </w:rPr>
            </w:pPr>
            <w:r>
              <w:rPr>
                <w:rFonts w:ascii="Arial" w:cs="Arial" w:eastAsia="Arial" w:hAnsi="Arial"/>
                <w:sz w:val="18"/>
                <w:szCs w:val="18"/>
                <w:color w:val="auto"/>
                <w:w w:val="85"/>
              </w:rPr>
              <w:t>6.17</w:t>
            </w:r>
          </w:p>
        </w:tc>
        <w:tc>
          <w:tcPr>
            <w:tcW w:w="340" w:type="dxa"/>
            <w:vAlign w:val="bottom"/>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1840" w:type="dxa"/>
            <w:vAlign w:val="bottom"/>
            <w:tcBorders>
              <w:top w:val="single" w:sz="8" w:color="auto"/>
            </w:tcBorders>
          </w:tcPr>
          <w:p>
            <w:pPr>
              <w:ind w:left="1500"/>
              <w:spacing w:after="0"/>
              <w:rPr>
                <w:sz w:val="20"/>
                <w:szCs w:val="20"/>
                <w:color w:val="auto"/>
              </w:rPr>
            </w:pPr>
            <w:r>
              <w:rPr>
                <w:rFonts w:ascii="Arial" w:cs="Arial" w:eastAsia="Arial" w:hAnsi="Arial"/>
                <w:sz w:val="18"/>
                <w:szCs w:val="18"/>
                <w:color w:val="auto"/>
                <w:w w:val="91"/>
              </w:rPr>
              <w:t>3.83</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60" w:type="dxa"/>
            <w:vAlign w:val="bottom"/>
          </w:tcPr>
          <w:p>
            <w:pPr>
              <w:spacing w:after="0"/>
              <w:rPr>
                <w:sz w:val="19"/>
                <w:szCs w:val="19"/>
                <w:color w:val="auto"/>
              </w:rPr>
            </w:pPr>
          </w:p>
        </w:tc>
        <w:tc>
          <w:tcPr>
            <w:tcW w:w="4300" w:type="dxa"/>
            <w:vAlign w:val="bottom"/>
            <w:shd w:val="clear" w:color="auto" w:fill="CCEEFF"/>
          </w:tcPr>
          <w:p>
            <w:pPr>
              <w:spacing w:after="0"/>
              <w:rPr>
                <w:sz w:val="20"/>
                <w:szCs w:val="20"/>
                <w:color w:val="auto"/>
              </w:rPr>
            </w:pPr>
            <w:r>
              <w:rPr>
                <w:rFonts w:ascii="Arial" w:cs="Arial" w:eastAsia="Arial" w:hAnsi="Arial"/>
                <w:sz w:val="18"/>
                <w:szCs w:val="18"/>
                <w:color w:val="auto"/>
              </w:rPr>
              <w:t>Weighted-average discount rate</w:t>
            </w:r>
          </w:p>
        </w:tc>
        <w:tc>
          <w:tcPr>
            <w:tcW w:w="22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340" w:type="dxa"/>
            <w:vAlign w:val="bottom"/>
            <w:gridSpan w:val="3"/>
            <w:shd w:val="clear" w:color="auto" w:fill="CCEEFF"/>
          </w:tcPr>
          <w:p>
            <w:pPr>
              <w:ind w:left="680"/>
              <w:spacing w:after="0"/>
              <w:rPr>
                <w:sz w:val="20"/>
                <w:szCs w:val="20"/>
                <w:color w:val="auto"/>
              </w:rPr>
            </w:pPr>
            <w:r>
              <w:rPr>
                <w:rFonts w:ascii="Arial" w:cs="Arial" w:eastAsia="Arial" w:hAnsi="Arial"/>
                <w:sz w:val="18"/>
                <w:szCs w:val="18"/>
                <w:color w:val="auto"/>
              </w:rPr>
              <w:t>6.25%</w:t>
            </w:r>
          </w:p>
        </w:tc>
        <w:tc>
          <w:tcPr>
            <w:tcW w:w="340" w:type="dxa"/>
            <w:vAlign w:val="bottom"/>
            <w:shd w:val="clear" w:color="auto" w:fill="CCEEFF"/>
          </w:tcPr>
          <w:p>
            <w:pPr>
              <w:spacing w:after="0"/>
              <w:rPr>
                <w:sz w:val="19"/>
                <w:szCs w:val="19"/>
                <w:color w:val="auto"/>
              </w:rPr>
            </w:pPr>
          </w:p>
        </w:tc>
        <w:tc>
          <w:tcPr>
            <w:tcW w:w="2020" w:type="dxa"/>
            <w:vAlign w:val="bottom"/>
            <w:gridSpan w:val="3"/>
            <w:shd w:val="clear" w:color="auto" w:fill="CCEEFF"/>
          </w:tcPr>
          <w:p>
            <w:pPr>
              <w:ind w:left="1500"/>
              <w:spacing w:after="0"/>
              <w:rPr>
                <w:sz w:val="20"/>
                <w:szCs w:val="20"/>
                <w:color w:val="auto"/>
              </w:rPr>
            </w:pPr>
            <w:r>
              <w:rPr>
                <w:rFonts w:ascii="Arial" w:cs="Arial" w:eastAsia="Arial" w:hAnsi="Arial"/>
                <w:sz w:val="18"/>
                <w:szCs w:val="18"/>
                <w:color w:val="auto"/>
                <w:w w:val="97"/>
              </w:rPr>
              <w:t>4.35%</w:t>
            </w: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7—Debt</w:t>
      </w:r>
    </w:p>
    <w:p>
      <w:pPr>
        <w:spacing w:after="0" w:line="121" w:lineRule="exact"/>
        <w:rPr>
          <w:sz w:val="20"/>
          <w:szCs w:val="20"/>
          <w:color w:val="auto"/>
        </w:rPr>
      </w:pPr>
    </w:p>
    <w:p>
      <w:pPr>
        <w:jc w:val="both"/>
        <w:ind w:firstLine="510"/>
        <w:spacing w:after="0" w:line="272" w:lineRule="auto"/>
        <w:rPr>
          <w:sz w:val="20"/>
          <w:szCs w:val="20"/>
          <w:color w:val="auto"/>
        </w:rPr>
      </w:pPr>
      <w:r>
        <w:rPr>
          <w:rFonts w:ascii="Arial" w:cs="Arial" w:eastAsia="Arial" w:hAnsi="Arial"/>
          <w:sz w:val="17"/>
          <w:szCs w:val="17"/>
          <w:color w:val="auto"/>
        </w:rPr>
        <w:t>On March 10, 2020 (the “Effective Date”), the Company entered into (i) a mezzanine loan and security agreement (the “Mezzanine Loan Agreement”) with Silicon Valley Bank, as administrative agent and collateral agent (the “Agent”), and Silicon Valley Bank and West River Innovation Lending Fund VIII, L.P., as lenders (the “Mezzanine Lenders”), pursuant to which the Mezzanine Lenders have agreed to lend the Company up to $50.0 million in a series of term loans, and (ii) a loan and security agreement (the “Senior Loan Agreement”, and together with the Mezzanine Loan Agreement, the “Loan Agreements”) with Silicon Valley Bank, as lender (the “Senior Lender”, and together with the Mezzanine Lenders, the “Lenders”), pursuant to which the Senior Lender has agreed to provide the Company with a revolving line of credit of up to $5.0 million. Upon entering into the Loan Agreements, the Company borrowed $35.0 million in term loans from the Mezzanine Lenders (the “Term A Loan”).</w:t>
      </w:r>
    </w:p>
    <w:p>
      <w:pPr>
        <w:spacing w:after="0" w:line="177"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On October 26, 2020, the Company entered into (i) the first amendment to the Mezzanine Loan Agreement (the “Mezzanine Loan Amendment”) and (ii) the first amendment to the Senior Loan Agreement (the “Senior Loan Amendment” and together with the Mezzanine Loan Amendment the “Loan Agreement Amendments”) with the Lenders, under which the Company borrowed an additional $5.0 million in term loans on March 1, 2021 (the “Term B1 Loan”).</w:t>
      </w:r>
    </w:p>
    <w:p>
      <w:pPr>
        <w:spacing w:after="0" w:line="187" w:lineRule="exact"/>
        <w:rPr>
          <w:sz w:val="20"/>
          <w:szCs w:val="20"/>
          <w:color w:val="auto"/>
        </w:rPr>
      </w:pPr>
    </w:p>
    <w:p>
      <w:pPr>
        <w:ind w:right="20" w:firstLine="510"/>
        <w:spacing w:after="0" w:line="257" w:lineRule="auto"/>
        <w:rPr>
          <w:sz w:val="20"/>
          <w:szCs w:val="20"/>
          <w:color w:val="auto"/>
        </w:rPr>
      </w:pPr>
      <w:r>
        <w:rPr>
          <w:rFonts w:ascii="Arial" w:cs="Arial" w:eastAsia="Arial" w:hAnsi="Arial"/>
          <w:sz w:val="18"/>
          <w:szCs w:val="18"/>
          <w:color w:val="212529"/>
        </w:rPr>
        <w:t>Under the terms of the Mezzanine Loan Agreement, as amended, the Company may, at its sole discretion, borrow from the Mezzanine Lenders up to an additional $10.0 million in term loans (the “Term B2 Loan”). The Term B1 Loan and Term B2 Loan, together with the Term A Loan, are referred to herein as the “Term Loans.” The Term B2 Loan will be available for draw if the Company receives approval from the FDA for VP-102 prior to September 30, 2021, and the Company maintains compliance with the minimum liquidity covenant until the earlier of September 30, 2021, or the occurrence of an event of default.</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98" w:right="339" w:bottom="1440" w:gutter="0" w:footer="0" w:header="0"/>
        </w:sectPr>
      </w:pPr>
    </w:p>
    <w:bookmarkStart w:id="12" w:name="page13"/>
    <w:bookmarkEnd w:id="12"/>
    <w:p>
      <w:pPr>
        <w:jc w:val="both"/>
        <w:ind w:right="220" w:firstLine="510"/>
        <w:spacing w:after="0" w:line="286" w:lineRule="auto"/>
        <w:rPr>
          <w:sz w:val="20"/>
          <w:szCs w:val="20"/>
          <w:color w:val="auto"/>
        </w:rPr>
      </w:pPr>
      <w:r>
        <w:rPr>
          <w:rFonts w:ascii="Arial" w:cs="Arial" w:eastAsia="Arial" w:hAnsi="Arial"/>
          <w:sz w:val="17"/>
          <w:szCs w:val="17"/>
          <w:color w:val="212529"/>
        </w:rPr>
        <w:t>Under the terms of the Senior Loan Agreement, as amended, the Company may, at its sole discretion, borrow from the Senior Lender one or more advances on the revolving credit line (the “Revolving Loans”, and together with the Term Loans, the “Loans”) in an aggregate amount not to exceed the lesser of (i) 85% of the aggregate amount then-contained in the Company’s eligible accounts receivable and (ii) $5.0 million.</w:t>
      </w:r>
    </w:p>
    <w:p>
      <w:pPr>
        <w:spacing w:after="0" w:line="165" w:lineRule="exact"/>
        <w:rPr>
          <w:sz w:val="20"/>
          <w:szCs w:val="20"/>
          <w:color w:val="auto"/>
        </w:rPr>
      </w:pPr>
    </w:p>
    <w:p>
      <w:pPr>
        <w:jc w:val="both"/>
        <w:ind w:firstLine="510"/>
        <w:spacing w:after="0" w:line="279" w:lineRule="auto"/>
        <w:rPr>
          <w:sz w:val="20"/>
          <w:szCs w:val="20"/>
          <w:color w:val="auto"/>
        </w:rPr>
      </w:pPr>
      <w:r>
        <w:rPr>
          <w:rFonts w:ascii="Arial" w:cs="Arial" w:eastAsia="Arial" w:hAnsi="Arial"/>
          <w:sz w:val="17"/>
          <w:szCs w:val="17"/>
          <w:color w:val="auto"/>
        </w:rPr>
        <w:t>The Company’s obligations under the Senior Loan Agreement and the Mezzanine Loan Agreement, as amended, are secured by, respectively, a first priority perfected security interest and second priority perfected security interest in substantially all of the Company’s current and future assets, other than its intellectual property (except rights to payment from the sale, licensing or disposition of such intellectual property). The Company has also agreed not to encumber its intellectual property assets, except as permitted by the Loan Agreements.</w:t>
      </w:r>
    </w:p>
    <w:p>
      <w:pPr>
        <w:spacing w:after="0" w:line="171" w:lineRule="exact"/>
        <w:rPr>
          <w:sz w:val="20"/>
          <w:szCs w:val="20"/>
          <w:color w:val="auto"/>
        </w:rPr>
      </w:pPr>
    </w:p>
    <w:p>
      <w:pPr>
        <w:jc w:val="both"/>
        <w:ind w:firstLine="510"/>
        <w:spacing w:after="0" w:line="277" w:lineRule="auto"/>
        <w:rPr>
          <w:sz w:val="20"/>
          <w:szCs w:val="20"/>
          <w:color w:val="auto"/>
        </w:rPr>
      </w:pPr>
      <w:r>
        <w:rPr>
          <w:rFonts w:ascii="Arial" w:cs="Arial" w:eastAsia="Arial" w:hAnsi="Arial"/>
          <w:sz w:val="17"/>
          <w:szCs w:val="17"/>
          <w:color w:val="auto"/>
        </w:rPr>
        <w:t>All of the Loans mature on March 1, 2024 (the “Maturity Date”). The Term Loans will be interest-only through March 31, 2022, followed by 24 equal monthly payments of principal and interest; provided that if the Company draws the Term B2 Loan, the Term Loans will be interest-only through September 30, 2022, followed by 18 equal monthly payments of principal and interest. The Term Loans will bear interest at a floating per annum rate equal to the greater of (i) 7.25% and (ii) the sum of (a) the prime rate reported in The Wall Street Journal on the last business day of the month that immediately precedes the month in which the interest will accrue, plus (b) 2.50%. The Revolving Loans will bear interest at a floating per annum rate equal to the greater of (i) 6.00% and (ii) the sum of (a) the prime rate reported in The Wall Street Journal on the last business day of the month that immediately precedes the month in which the interest will accrue, plus (b) 1.25%.</w:t>
      </w:r>
    </w:p>
    <w:p>
      <w:pPr>
        <w:spacing w:after="0" w:line="176" w:lineRule="exact"/>
        <w:rPr>
          <w:sz w:val="20"/>
          <w:szCs w:val="20"/>
          <w:color w:val="auto"/>
        </w:rPr>
      </w:pPr>
    </w:p>
    <w:p>
      <w:pPr>
        <w:jc w:val="both"/>
        <w:ind w:firstLine="510"/>
        <w:spacing w:after="0" w:line="283" w:lineRule="auto"/>
        <w:rPr>
          <w:sz w:val="20"/>
          <w:szCs w:val="20"/>
          <w:color w:val="auto"/>
        </w:rPr>
      </w:pPr>
      <w:r>
        <w:rPr>
          <w:rFonts w:ascii="Arial" w:cs="Arial" w:eastAsia="Arial" w:hAnsi="Arial"/>
          <w:sz w:val="17"/>
          <w:szCs w:val="17"/>
          <w:color w:val="auto"/>
        </w:rPr>
        <w:t>Under the terms of the Mezzanine Loan Agreement, as amended, the Company will be required to make a final payment fee of $3,750,000 payable on the earlier of (i) the Maturity Date, (ii) the acceleration of any Term Loans, or (iii) the prepayment of the Term Loans (the “Final Payment”). The Company is recording the final payment fee to interest expense using the effective interest rate method over the term of the Term Loan with an increase in long-term debt. The Company may prepay all, or any portion of the Term Loans upon 5 business days’ advance written notice to the Agent, provided that the Company will be obligated to pay a prepayment fee equal to (i) $1.5 million if prepaid on or before October 26, 2021, (ii) $1.0 million if prepaid between October 27, 2021 and October 26, 2022, and (iii) $0.5 million if prepaid between October 27, 2022 and October 26, 2023 and (iv) no prepayment fee if prepaid after October 26, 2023 (each, a “Prepayment Fee”).</w:t>
      </w:r>
    </w:p>
    <w:p>
      <w:pPr>
        <w:spacing w:after="0" w:line="169"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The Company may terminate the revolving credit line under the Senior Loan Agreement at any time upon three business days’ advance written notice to the Senior Lender. If the Company terminates the revolving credit line prior to the Maturity Date, it must pay to the Senior Lender an early termination fee of $50,000 (the “Termination Fee”).</w:t>
      </w:r>
    </w:p>
    <w:p>
      <w:pPr>
        <w:spacing w:after="0" w:line="184" w:lineRule="exact"/>
        <w:rPr>
          <w:sz w:val="20"/>
          <w:szCs w:val="20"/>
          <w:color w:val="auto"/>
        </w:rPr>
      </w:pPr>
    </w:p>
    <w:p>
      <w:pPr>
        <w:jc w:val="both"/>
        <w:ind w:firstLine="510"/>
        <w:spacing w:after="0" w:line="275" w:lineRule="auto"/>
        <w:rPr>
          <w:sz w:val="20"/>
          <w:szCs w:val="20"/>
          <w:color w:val="auto"/>
        </w:rPr>
      </w:pPr>
      <w:r>
        <w:rPr>
          <w:rFonts w:ascii="Arial" w:cs="Arial" w:eastAsia="Arial" w:hAnsi="Arial"/>
          <w:sz w:val="17"/>
          <w:szCs w:val="17"/>
          <w:color w:val="auto"/>
        </w:rPr>
        <w:t>Under the Loan Agreements, as amended, the Company is subject to a number of affirmative and restrictive covenants, including covenants regarding maintaining a specified minimum liquidity ratio, delivery of financial statements, maintenance of inventory, payment of taxes, maintenance of insurance, protection of intellectual property rights, dispositions of property, business combinations or acquisitions, incurrence of additional indebtedness or liens, investments and transactions with affiliates, and, beginning as of March 31, 2022, achieving minimum levels of trailing six-month net product revenues, among other customary covenants. As of June 30, 2021 the Company is in compliance with all covenants.</w:t>
      </w:r>
    </w:p>
    <w:p>
      <w:pPr>
        <w:spacing w:after="0" w:line="176" w:lineRule="exact"/>
        <w:rPr>
          <w:sz w:val="20"/>
          <w:szCs w:val="20"/>
          <w:color w:val="auto"/>
        </w:rPr>
      </w:pPr>
    </w:p>
    <w:p>
      <w:pPr>
        <w:jc w:val="both"/>
        <w:ind w:firstLine="510"/>
        <w:spacing w:after="0" w:line="272" w:lineRule="auto"/>
        <w:rPr>
          <w:sz w:val="20"/>
          <w:szCs w:val="20"/>
          <w:color w:val="auto"/>
        </w:rPr>
      </w:pPr>
      <w:r>
        <w:rPr>
          <w:rFonts w:ascii="Arial" w:cs="Arial" w:eastAsia="Arial" w:hAnsi="Arial"/>
          <w:sz w:val="17"/>
          <w:szCs w:val="17"/>
          <w:color w:val="auto"/>
        </w:rPr>
        <w:t>Upon the occurrence of certain events, including but not limited to the Company’s failure to satisfy its payment obligations under the Loan Agreements, the breach of certain of its other covenants under the Loan Agreements, or the occurrence of a material adverse change, cross defaults to other indebtedness or material agreements, judgment defaults and defaults related to failure to maintain governmental approvals failure of which to maintain could result in a material adverse effect, the Agent and the Lenders will have the right, among other remedies, to declare all principal and interest immediately due and payable, to exercise secured party remedies, to receive the Final Payment and Termination Fee and, if the payment of principal and interest is due prior to the Maturity Date, to receive the applicable Prepayment Fee. The Loan Agreements also include subjective acceleration clauses that permit the Lenders to accelerate the maturity date under certain circumstances, including a material adverse change in the Company’s business, operations, or financial condition or a material impairment of the prospect of repayment of the Company’s obligations to the Mezzanine Lenders. Pursuant to the Loan Agreement Amendments, the Company is subject to a minimum liquidity covenant defined as the balance of the of the Company’s unrestricted cash, cash equivalents, and marketable securities in accounts maintained at Silicon Valley Bank being greater than one and one half times the Company’s aggregate outstanding obligations to the Mezzanine Lenders under the Term A Loan.</w:t>
      </w:r>
    </w:p>
    <w:p>
      <w:pPr>
        <w:spacing w:after="0" w:line="182" w:lineRule="exact"/>
        <w:rPr>
          <w:sz w:val="20"/>
          <w:szCs w:val="20"/>
          <w:color w:val="auto"/>
        </w:rPr>
      </w:pPr>
    </w:p>
    <w:p>
      <w:pPr>
        <w:jc w:val="both"/>
        <w:ind w:firstLine="510"/>
        <w:spacing w:after="0" w:line="259" w:lineRule="auto"/>
        <w:rPr>
          <w:sz w:val="20"/>
          <w:szCs w:val="20"/>
          <w:color w:val="auto"/>
        </w:rPr>
      </w:pPr>
      <w:r>
        <w:rPr>
          <w:rFonts w:ascii="Arial" w:cs="Arial" w:eastAsia="Arial" w:hAnsi="Arial"/>
          <w:sz w:val="18"/>
          <w:szCs w:val="18"/>
          <w:color w:val="auto"/>
        </w:rPr>
        <w:t>The Company believes that, without additional financing, it is probable that it will not be compliant with its minimum liquidity ratio covenant at some point in the next twelve months. In accordance with FASB ASC 470, since the Mezzanine Loan Agreement contains subjective acceleration clauses and the assessment that it is probable that the minimum liquidity ratio covenant will not be met, the Company has classified all outstanding principal and final payment fees as a current liability in the accompanying balance sheet as of June 30, 2021.</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773" w:right="339" w:bottom="1440" w:gutter="0" w:footer="0" w:header="0"/>
        </w:sectPr>
      </w:pPr>
    </w:p>
    <w:bookmarkStart w:id="13" w:name="page14"/>
    <w:bookmarkEnd w:id="13"/>
    <w:p>
      <w:pPr>
        <w:jc w:val="both"/>
        <w:ind w:firstLine="510"/>
        <w:spacing w:after="0" w:line="257" w:lineRule="auto"/>
        <w:rPr>
          <w:sz w:val="20"/>
          <w:szCs w:val="20"/>
          <w:color w:val="auto"/>
        </w:rPr>
      </w:pPr>
      <w:r>
        <w:rPr>
          <w:rFonts w:ascii="Arial" w:cs="Arial" w:eastAsia="Arial" w:hAnsi="Arial"/>
          <w:sz w:val="18"/>
          <w:szCs w:val="18"/>
          <w:color w:val="auto"/>
        </w:rPr>
        <w:t>The Company borrowed $35.0 million upon entering into the Loan Agreement in March 2020, and an additional $5.0 million on March 1, 2021. The Company has incurred debt discount and issuance costs of $4.3 million, including the final payment fee of $3.8 million, that are classified as a contra-liability on the condensed balance sheet. The Company incurred additional debt issuance costs related to the revolving credit line of $0.1 million, classified as other non-current assets in the condensed balance sheet. These costs related to the revolving credit line are being amortized to interest expense over the life of the loans using the straight-line method.</w:t>
      </w:r>
    </w:p>
    <w:p>
      <w:pPr>
        <w:spacing w:after="0" w:line="188"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auto"/>
        </w:rPr>
        <w:t>For the three and six months ended June 30, 2021, the Company recognized interest expense of $1.0 million and $2.1 million, respectively, of which $0.7 million and $1.4 million, respectively, was interest on the term loan and $0.3 million and $0.7 million, respectively, was non-cash interest expense related to the amortization of deferred debt issuance costs and accrual of the final payment fee.</w:t>
      </w:r>
    </w:p>
    <w:p>
      <w:pPr>
        <w:spacing w:after="0" w:line="184" w:lineRule="exact"/>
        <w:rPr>
          <w:sz w:val="20"/>
          <w:szCs w:val="20"/>
          <w:color w:val="auto"/>
        </w:rPr>
      </w:pPr>
    </w:p>
    <w:p>
      <w:pPr>
        <w:ind w:left="760"/>
        <w:spacing w:after="0"/>
        <w:rPr>
          <w:sz w:val="20"/>
          <w:szCs w:val="20"/>
          <w:color w:val="auto"/>
        </w:rPr>
      </w:pPr>
      <w:r>
        <w:rPr>
          <w:rFonts w:ascii="Arial" w:cs="Arial" w:eastAsia="Arial" w:hAnsi="Arial"/>
          <w:sz w:val="18"/>
          <w:szCs w:val="18"/>
          <w:color w:val="auto"/>
        </w:rPr>
        <w:t>The following table summarizes the composition of debt as reflected on the balance sheet as of June 30, 2021 (in thousands):</w:t>
      </w:r>
    </w:p>
    <w:p>
      <w:pPr>
        <w:spacing w:after="0" w:line="239" w:lineRule="exact"/>
        <w:rPr>
          <w:sz w:val="20"/>
          <w:szCs w:val="20"/>
          <w:color w:val="auto"/>
        </w:rPr>
      </w:pPr>
    </w:p>
    <w:tbl>
      <w:tblPr>
        <w:tblLayout w:type="fixed"/>
        <w:tblInd w:w="580" w:type="dxa"/>
        <w:tblCellMar>
          <w:top w:w="0" w:type="dxa"/>
          <w:left w:w="0" w:type="dxa"/>
          <w:bottom w:w="0" w:type="dxa"/>
          <w:right w:w="0" w:type="dxa"/>
        </w:tblCellMar>
      </w:tblP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Gross proceeds</w:t>
            </w:r>
          </w:p>
        </w:tc>
        <w:tc>
          <w:tcPr>
            <w:tcW w:w="860" w:type="dxa"/>
            <w:vAlign w:val="bottom"/>
            <w:shd w:val="clear" w:color="auto" w:fill="CFF0FC"/>
          </w:tcPr>
          <w:p>
            <w:pPr>
              <w:jc w:val="right"/>
              <w:ind w:right="707"/>
              <w:spacing w:after="0"/>
              <w:rPr>
                <w:sz w:val="20"/>
                <w:szCs w:val="20"/>
                <w:color w:val="auto"/>
              </w:rPr>
            </w:pPr>
            <w:r>
              <w:rPr>
                <w:rFonts w:ascii="Arial" w:cs="Arial" w:eastAsia="Arial" w:hAnsi="Arial"/>
                <w:sz w:val="15"/>
                <w:szCs w:val="15"/>
                <w:color w:val="auto"/>
                <w:w w:val="71"/>
              </w:rPr>
              <w:t>$</w:t>
            </w: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40,000</w:t>
            </w:r>
          </w:p>
        </w:tc>
        <w:tc>
          <w:tcPr>
            <w:tcW w:w="100" w:type="dxa"/>
            <w:vAlign w:val="bottom"/>
            <w:shd w:val="clear" w:color="auto" w:fill="CFF0FC"/>
          </w:tcPr>
          <w:p>
            <w:pPr>
              <w:spacing w:after="0"/>
              <w:rPr>
                <w:sz w:val="19"/>
                <w:szCs w:val="19"/>
                <w:color w:val="auto"/>
              </w:rPr>
            </w:pPr>
          </w:p>
        </w:tc>
      </w:tr>
      <w:tr>
        <w:trPr>
          <w:trHeight w:val="230"/>
        </w:trPr>
        <w:tc>
          <w:tcPr>
            <w:tcW w:w="7860" w:type="dxa"/>
            <w:vAlign w:val="bottom"/>
          </w:tcPr>
          <w:p>
            <w:pPr>
              <w:spacing w:after="0"/>
              <w:rPr>
                <w:sz w:val="20"/>
                <w:szCs w:val="20"/>
                <w:color w:val="auto"/>
              </w:rPr>
            </w:pPr>
            <w:r>
              <w:rPr>
                <w:rFonts w:ascii="Arial" w:cs="Arial" w:eastAsia="Arial" w:hAnsi="Arial"/>
                <w:sz w:val="18"/>
                <w:szCs w:val="18"/>
                <w:color w:val="auto"/>
              </w:rPr>
              <w:t>Accrued final payment fee</w:t>
            </w:r>
          </w:p>
        </w:tc>
        <w:tc>
          <w:tcPr>
            <w:tcW w:w="8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3,750</w:t>
            </w:r>
          </w:p>
        </w:tc>
        <w:tc>
          <w:tcPr>
            <w:tcW w:w="100" w:type="dxa"/>
            <w:vAlign w:val="bottom"/>
          </w:tcPr>
          <w:p>
            <w:pPr>
              <w:spacing w:after="0"/>
              <w:rPr>
                <w:sz w:val="19"/>
                <w:szCs w:val="19"/>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Unamortized debt discount and issuance costs</w:t>
            </w:r>
          </w:p>
        </w:tc>
        <w:tc>
          <w:tcPr>
            <w:tcW w:w="86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(2,745)</w:t>
            </w:r>
          </w:p>
        </w:tc>
      </w:tr>
      <w:tr>
        <w:trPr>
          <w:trHeight w:val="223"/>
        </w:trPr>
        <w:tc>
          <w:tcPr>
            <w:tcW w:w="7860" w:type="dxa"/>
            <w:vAlign w:val="bottom"/>
          </w:tcPr>
          <w:p>
            <w:pPr>
              <w:spacing w:after="0"/>
              <w:rPr>
                <w:sz w:val="20"/>
                <w:szCs w:val="20"/>
                <w:color w:val="auto"/>
              </w:rPr>
            </w:pPr>
            <w:r>
              <w:rPr>
                <w:rFonts w:ascii="Arial" w:cs="Arial" w:eastAsia="Arial" w:hAnsi="Arial"/>
                <w:sz w:val="18"/>
                <w:szCs w:val="18"/>
                <w:color w:val="auto"/>
              </w:rPr>
              <w:t>Total short-term debt, net</w:t>
            </w:r>
          </w:p>
        </w:tc>
        <w:tc>
          <w:tcPr>
            <w:tcW w:w="860" w:type="dxa"/>
            <w:vAlign w:val="bottom"/>
            <w:tcBorders>
              <w:top w:val="single" w:sz="8" w:color="auto"/>
              <w:bottom w:val="single" w:sz="8" w:color="auto"/>
            </w:tcBorders>
          </w:tcPr>
          <w:p>
            <w:pPr>
              <w:jc w:val="right"/>
              <w:ind w:right="707"/>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41,005</w:t>
            </w:r>
          </w:p>
        </w:tc>
        <w:tc>
          <w:tcPr>
            <w:tcW w:w="100" w:type="dxa"/>
            <w:vAlign w:val="bottom"/>
          </w:tcPr>
          <w:p>
            <w:pPr>
              <w:spacing w:after="0"/>
              <w:rPr>
                <w:sz w:val="19"/>
                <w:szCs w:val="19"/>
                <w:color w:val="auto"/>
              </w:rPr>
            </w:pPr>
          </w:p>
        </w:tc>
      </w:tr>
      <w:tr>
        <w:trPr>
          <w:trHeight w:val="20"/>
        </w:trPr>
        <w:tc>
          <w:tcPr>
            <w:tcW w:w="786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both"/>
        <w:ind w:right="580" w:firstLine="749"/>
        <w:spacing w:after="0" w:line="277" w:lineRule="auto"/>
        <w:rPr>
          <w:sz w:val="20"/>
          <w:szCs w:val="20"/>
          <w:color w:val="auto"/>
        </w:rPr>
      </w:pPr>
      <w:r>
        <w:rPr>
          <w:rFonts w:ascii="Arial" w:cs="Arial" w:eastAsia="Arial" w:hAnsi="Arial"/>
          <w:sz w:val="18"/>
          <w:szCs w:val="18"/>
          <w:color w:val="auto"/>
        </w:rPr>
        <w:t>In the event the Company maintains compliance with its minimum liquidity covenant to avoid an acceleration of payments, the aggregate maturities of debt as of June 30, 2021, are as follows (in thousands):</w:t>
      </w:r>
    </w:p>
    <w:p>
      <w:pPr>
        <w:spacing w:after="0" w:line="185" w:lineRule="exact"/>
        <w:rPr>
          <w:sz w:val="20"/>
          <w:szCs w:val="20"/>
          <w:color w:val="auto"/>
        </w:rPr>
      </w:pPr>
    </w:p>
    <w:tbl>
      <w:tblPr>
        <w:tblLayout w:type="fixed"/>
        <w:tblInd w:w="580" w:type="dxa"/>
        <w:tblCellMar>
          <w:top w:w="0" w:type="dxa"/>
          <w:left w:w="0" w:type="dxa"/>
          <w:bottom w:w="0" w:type="dxa"/>
          <w:right w:w="0" w:type="dxa"/>
        </w:tblCellMar>
      </w:tblPr>
      <w:tr>
        <w:trPr>
          <w:trHeight w:val="230"/>
        </w:trPr>
        <w:tc>
          <w:tcPr>
            <w:tcW w:w="8060" w:type="dxa"/>
            <w:vAlign w:val="bottom"/>
            <w:shd w:val="clear" w:color="auto" w:fill="CFF0FC"/>
          </w:tcPr>
          <w:p>
            <w:pPr>
              <w:spacing w:after="0"/>
              <w:rPr>
                <w:sz w:val="20"/>
                <w:szCs w:val="20"/>
                <w:color w:val="auto"/>
              </w:rPr>
            </w:pPr>
            <w:r>
              <w:rPr>
                <w:rFonts w:ascii="Arial" w:cs="Arial" w:eastAsia="Arial" w:hAnsi="Arial"/>
                <w:sz w:val="18"/>
                <w:szCs w:val="18"/>
                <w:color w:val="auto"/>
              </w:rPr>
              <w:t>Remainder of 2021</w:t>
            </w:r>
          </w:p>
        </w:tc>
        <w:tc>
          <w:tcPr>
            <w:tcW w:w="760" w:type="dxa"/>
            <w:vAlign w:val="bottom"/>
            <w:shd w:val="clear" w:color="auto" w:fill="CFF0FC"/>
          </w:tcPr>
          <w:p>
            <w:pPr>
              <w:jc w:val="right"/>
              <w:ind w:right="570"/>
              <w:spacing w:after="0"/>
              <w:rPr>
                <w:sz w:val="20"/>
                <w:szCs w:val="20"/>
                <w:color w:val="auto"/>
              </w:rPr>
            </w:pPr>
            <w:r>
              <w:rPr>
                <w:rFonts w:ascii="Arial" w:cs="Arial" w:eastAsia="Arial" w:hAnsi="Arial"/>
                <w:sz w:val="18"/>
                <w:szCs w:val="18"/>
                <w:color w:val="auto"/>
                <w:w w:val="79"/>
              </w:rPr>
              <w:t>$</w:t>
            </w:r>
          </w:p>
        </w:tc>
        <w:tc>
          <w:tcPr>
            <w:tcW w:w="12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8060" w:type="dxa"/>
            <w:vAlign w:val="bottom"/>
          </w:tcPr>
          <w:p>
            <w:pPr>
              <w:spacing w:after="0"/>
              <w:rPr>
                <w:sz w:val="20"/>
                <w:szCs w:val="20"/>
                <w:color w:val="auto"/>
              </w:rPr>
            </w:pPr>
            <w:r>
              <w:rPr>
                <w:rFonts w:ascii="Arial" w:cs="Arial" w:eastAsia="Arial" w:hAnsi="Arial"/>
                <w:sz w:val="18"/>
                <w:szCs w:val="18"/>
                <w:color w:val="auto"/>
              </w:rPr>
              <w:t>2022</w:t>
            </w:r>
          </w:p>
        </w:tc>
        <w:tc>
          <w:tcPr>
            <w:tcW w:w="7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6,667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8060" w:type="dxa"/>
            <w:vAlign w:val="bottom"/>
            <w:shd w:val="clear" w:color="auto" w:fill="CFF0FC"/>
          </w:tcPr>
          <w:p>
            <w:pPr>
              <w:spacing w:after="0"/>
              <w:rPr>
                <w:sz w:val="20"/>
                <w:szCs w:val="20"/>
                <w:color w:val="auto"/>
              </w:rPr>
            </w:pPr>
            <w:r>
              <w:rPr>
                <w:rFonts w:ascii="Arial" w:cs="Arial" w:eastAsia="Arial" w:hAnsi="Arial"/>
                <w:sz w:val="18"/>
                <w:szCs w:val="18"/>
                <w:color w:val="auto"/>
              </w:rPr>
              <w:t>2023</w:t>
            </w:r>
          </w:p>
        </w:tc>
        <w:tc>
          <w:tcPr>
            <w:tcW w:w="7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26,667</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0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2024 (1)</w:t>
            </w:r>
          </w:p>
        </w:tc>
        <w:tc>
          <w:tcPr>
            <w:tcW w:w="7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6,666</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8060" w:type="dxa"/>
            <w:vAlign w:val="bottom"/>
            <w:tcBorders>
              <w:bottom w:val="single" w:sz="8" w:color="CFF0FC"/>
            </w:tcBorders>
            <w:shd w:val="clear" w:color="auto" w:fill="CFF0FC"/>
          </w:tcPr>
          <w:p>
            <w:pPr>
              <w:spacing w:after="0"/>
              <w:rPr>
                <w:sz w:val="19"/>
                <w:szCs w:val="19"/>
                <w:color w:val="auto"/>
              </w:rPr>
            </w:pPr>
          </w:p>
        </w:tc>
        <w:tc>
          <w:tcPr>
            <w:tcW w:w="760" w:type="dxa"/>
            <w:vAlign w:val="bottom"/>
            <w:tcBorders>
              <w:bottom w:val="single" w:sz="8" w:color="auto"/>
            </w:tcBorders>
            <w:shd w:val="clear" w:color="auto" w:fill="CFF0FC"/>
          </w:tcPr>
          <w:p>
            <w:pPr>
              <w:jc w:val="right"/>
              <w:ind w:right="57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40,000</w:t>
            </w:r>
          </w:p>
        </w:tc>
        <w:tc>
          <w:tcPr>
            <w:tcW w:w="10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060" w:type="dxa"/>
            <w:vAlign w:val="bottom"/>
            <w:vMerge w:val="restart"/>
          </w:tcPr>
          <w:p>
            <w:pPr>
              <w:spacing w:after="0"/>
              <w:rPr>
                <w:sz w:val="20"/>
                <w:szCs w:val="20"/>
                <w:color w:val="auto"/>
              </w:rPr>
            </w:pPr>
            <w:r>
              <w:rPr>
                <w:rFonts w:ascii="Arial" w:cs="Arial" w:eastAsia="Arial" w:hAnsi="Arial"/>
                <w:sz w:val="18"/>
                <w:szCs w:val="18"/>
                <w:color w:val="auto"/>
              </w:rPr>
              <w:t>(1) Excludes the final payment fee due at time of maturity</w:t>
            </w:r>
          </w:p>
        </w:tc>
        <w:tc>
          <w:tcPr>
            <w:tcW w:w="7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060" w:type="dxa"/>
            <w:vAlign w:val="bottom"/>
            <w:vMerge w:val="continue"/>
          </w:tcPr>
          <w:p>
            <w:pPr>
              <w:spacing w:after="0"/>
              <w:rPr>
                <w:sz w:val="18"/>
                <w:szCs w:val="18"/>
                <w:color w:val="auto"/>
              </w:rPr>
            </w:pPr>
          </w:p>
        </w:tc>
        <w:tc>
          <w:tcPr>
            <w:tcW w:w="7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3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8—Stock-Based Compensation</w:t>
      </w:r>
    </w:p>
    <w:p>
      <w:pPr>
        <w:spacing w:after="0" w:line="121" w:lineRule="exact"/>
        <w:rPr>
          <w:sz w:val="20"/>
          <w:szCs w:val="20"/>
          <w:color w:val="auto"/>
        </w:rPr>
      </w:pPr>
    </w:p>
    <w:p>
      <w:pPr>
        <w:ind w:right="20" w:firstLine="510"/>
        <w:spacing w:after="0" w:line="277" w:lineRule="auto"/>
        <w:rPr>
          <w:sz w:val="20"/>
          <w:szCs w:val="20"/>
          <w:color w:val="auto"/>
        </w:rPr>
      </w:pPr>
      <w:r>
        <w:rPr>
          <w:rFonts w:ascii="Arial" w:cs="Arial" w:eastAsia="Arial" w:hAnsi="Arial"/>
          <w:sz w:val="18"/>
          <w:szCs w:val="18"/>
          <w:color w:val="auto"/>
        </w:rPr>
        <w:t>Stock-based compensation expense, which includes expense for both employees and non-employees, has been reported in the Company’s condensed statements of operations for the three and six months ended June 30, 2021 and 2020 as follows (in thousands):</w:t>
      </w:r>
    </w:p>
    <w:p>
      <w:pPr>
        <w:spacing w:after="0" w:line="163" w:lineRule="exact"/>
        <w:rPr>
          <w:sz w:val="20"/>
          <w:szCs w:val="20"/>
          <w:color w:val="auto"/>
        </w:rPr>
      </w:pPr>
    </w:p>
    <w:tbl>
      <w:tblPr>
        <w:tblLayout w:type="fixed"/>
        <w:tblInd w:w="1700" w:type="dxa"/>
        <w:tblCellMar>
          <w:top w:w="0" w:type="dxa"/>
          <w:left w:w="0" w:type="dxa"/>
          <w:bottom w:w="0" w:type="dxa"/>
          <w:right w:w="0" w:type="dxa"/>
        </w:tblCellMar>
      </w:tblPr>
      <w:tr>
        <w:trPr>
          <w:trHeight w:val="161"/>
        </w:trPr>
        <w:tc>
          <w:tcPr>
            <w:tcW w:w="2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40" w:type="dxa"/>
            <w:vAlign w:val="bottom"/>
            <w:gridSpan w:val="4"/>
          </w:tcPr>
          <w:p>
            <w:pPr>
              <w:jc w:val="right"/>
              <w:ind w:right="115"/>
              <w:spacing w:after="0"/>
              <w:rPr>
                <w:sz w:val="20"/>
                <w:szCs w:val="20"/>
                <w:color w:val="auto"/>
              </w:rPr>
            </w:pPr>
            <w:r>
              <w:rPr>
                <w:rFonts w:ascii="Arial" w:cs="Arial" w:eastAsia="Arial" w:hAnsi="Arial"/>
                <w:sz w:val="14"/>
                <w:szCs w:val="14"/>
                <w:b w:val="1"/>
                <w:bCs w:val="1"/>
                <w:color w:val="auto"/>
                <w:w w:val="95"/>
              </w:rPr>
              <w:t>For the Three Months Ended</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0" w:type="dxa"/>
            <w:vAlign w:val="bottom"/>
            <w:gridSpan w:val="5"/>
            <w:vMerge w:val="restart"/>
          </w:tcPr>
          <w:p>
            <w:pPr>
              <w:ind w:left="20"/>
              <w:spacing w:after="0"/>
              <w:rPr>
                <w:sz w:val="20"/>
                <w:szCs w:val="20"/>
                <w:color w:val="auto"/>
              </w:rPr>
            </w:pPr>
            <w:r>
              <w:rPr>
                <w:rFonts w:ascii="Arial" w:cs="Arial" w:eastAsia="Arial" w:hAnsi="Arial"/>
                <w:sz w:val="14"/>
                <w:szCs w:val="14"/>
                <w:b w:val="1"/>
                <w:bCs w:val="1"/>
                <w:color w:val="auto"/>
              </w:rPr>
              <w:t>For the Six Months Ended June 30,</w:t>
            </w:r>
          </w:p>
        </w:tc>
        <w:tc>
          <w:tcPr>
            <w:tcW w:w="0" w:type="dxa"/>
            <w:vAlign w:val="bottom"/>
          </w:tcPr>
          <w:p>
            <w:pPr>
              <w:spacing w:after="0"/>
              <w:rPr>
                <w:sz w:val="1"/>
                <w:szCs w:val="1"/>
                <w:color w:val="auto"/>
              </w:rPr>
            </w:pPr>
          </w:p>
        </w:tc>
      </w:tr>
      <w:tr>
        <w:trPr>
          <w:trHeight w:val="171"/>
        </w:trPr>
        <w:tc>
          <w:tcPr>
            <w:tcW w:w="2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00" w:type="dxa"/>
            <w:vAlign w:val="bottom"/>
            <w:gridSpan w:val="3"/>
          </w:tcPr>
          <w:p>
            <w:pPr>
              <w:jc w:val="right"/>
              <w:ind w:right="27"/>
              <w:spacing w:after="0"/>
              <w:rPr>
                <w:sz w:val="20"/>
                <w:szCs w:val="20"/>
                <w:color w:val="auto"/>
              </w:rPr>
            </w:pPr>
            <w:r>
              <w:rPr>
                <w:rFonts w:ascii="Arial" w:cs="Arial" w:eastAsia="Arial" w:hAnsi="Arial"/>
                <w:sz w:val="14"/>
                <w:szCs w:val="14"/>
                <w:b w:val="1"/>
                <w:bCs w:val="1"/>
                <w:color w:val="auto"/>
              </w:rPr>
              <w:t>June 30,</w:t>
            </w:r>
          </w:p>
        </w:tc>
        <w:tc>
          <w:tcPr>
            <w:tcW w:w="7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0" w:type="dxa"/>
            <w:vAlign w:val="bottom"/>
            <w:gridSpan w:val="5"/>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980" w:type="dxa"/>
            <w:vAlign w:val="bottom"/>
            <w:tcBorders>
              <w:bottom w:val="single" w:sz="8" w:color="CFF0FC"/>
            </w:tcBorders>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880" w:type="dxa"/>
            <w:vAlign w:val="bottom"/>
            <w:tcBorders>
              <w:top w:val="single" w:sz="8" w:color="auto"/>
              <w:bottom w:val="single" w:sz="8" w:color="auto"/>
            </w:tcBorders>
          </w:tcPr>
          <w:p>
            <w:pPr>
              <w:jc w:val="right"/>
              <w:ind w:right="299"/>
              <w:spacing w:after="0" w:line="155" w:lineRule="exact"/>
              <w:rPr>
                <w:sz w:val="20"/>
                <w:szCs w:val="20"/>
                <w:color w:val="auto"/>
              </w:rPr>
            </w:pPr>
            <w:r>
              <w:rPr>
                <w:rFonts w:ascii="Arial" w:cs="Arial" w:eastAsia="Arial" w:hAnsi="Arial"/>
                <w:sz w:val="14"/>
                <w:szCs w:val="14"/>
                <w:b w:val="1"/>
                <w:bCs w:val="1"/>
                <w:color w:val="auto"/>
              </w:rPr>
              <w:t>2021</w:t>
            </w:r>
          </w:p>
        </w:tc>
        <w:tc>
          <w:tcPr>
            <w:tcW w:w="160" w:type="dxa"/>
            <w:vAlign w:val="bottom"/>
            <w:tcBorders>
              <w:top w:val="single" w:sz="8" w:color="auto"/>
              <w:bottom w:val="single" w:sz="8" w:color="CFF0FC"/>
            </w:tcBorders>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740" w:type="dxa"/>
            <w:vAlign w:val="bottom"/>
            <w:tcBorders>
              <w:top w:val="single" w:sz="8" w:color="auto"/>
              <w:bottom w:val="single" w:sz="8" w:color="auto"/>
            </w:tcBorders>
          </w:tcPr>
          <w:p>
            <w:pPr>
              <w:jc w:val="right"/>
              <w:ind w:right="275"/>
              <w:spacing w:after="0" w:line="155" w:lineRule="exact"/>
              <w:rPr>
                <w:sz w:val="20"/>
                <w:szCs w:val="20"/>
                <w:color w:val="auto"/>
              </w:rPr>
            </w:pPr>
            <w:r>
              <w:rPr>
                <w:rFonts w:ascii="Arial" w:cs="Arial" w:eastAsia="Arial" w:hAnsi="Arial"/>
                <w:sz w:val="14"/>
                <w:szCs w:val="14"/>
                <w:b w:val="1"/>
                <w:bCs w:val="1"/>
                <w:color w:val="auto"/>
              </w:rPr>
              <w:t>2020</w:t>
            </w:r>
          </w:p>
        </w:tc>
        <w:tc>
          <w:tcPr>
            <w:tcW w:w="180" w:type="dxa"/>
            <w:vAlign w:val="bottom"/>
            <w:tcBorders>
              <w:bottom w:val="single" w:sz="8" w:color="CFF0FC"/>
            </w:tcBorders>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1020" w:type="dxa"/>
            <w:vAlign w:val="bottom"/>
            <w:tcBorders>
              <w:top w:val="single" w:sz="8" w:color="auto"/>
              <w:bottom w:val="single" w:sz="8" w:color="auto"/>
            </w:tcBorders>
          </w:tcPr>
          <w:p>
            <w:pPr>
              <w:jc w:val="right"/>
              <w:ind w:right="357"/>
              <w:spacing w:after="0" w:line="155" w:lineRule="exact"/>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bottom w:val="single" w:sz="8" w:color="CFF0FC"/>
            </w:tcBorders>
          </w:tcPr>
          <w:p>
            <w:pPr>
              <w:spacing w:after="0"/>
              <w:rPr>
                <w:sz w:val="13"/>
                <w:szCs w:val="13"/>
                <w:color w:val="auto"/>
              </w:rPr>
            </w:pPr>
          </w:p>
        </w:tc>
        <w:tc>
          <w:tcPr>
            <w:tcW w:w="240" w:type="dxa"/>
            <w:vAlign w:val="bottom"/>
            <w:tcBorders>
              <w:top w:val="single" w:sz="8" w:color="auto"/>
              <w:bottom w:val="single" w:sz="8" w:color="auto"/>
            </w:tcBorders>
          </w:tcPr>
          <w:p>
            <w:pPr>
              <w:spacing w:after="0"/>
              <w:rPr>
                <w:sz w:val="13"/>
                <w:szCs w:val="13"/>
                <w:color w:val="auto"/>
              </w:rPr>
            </w:pPr>
          </w:p>
        </w:tc>
        <w:tc>
          <w:tcPr>
            <w:tcW w:w="880" w:type="dxa"/>
            <w:vAlign w:val="bottom"/>
            <w:tcBorders>
              <w:top w:val="single" w:sz="8" w:color="auto"/>
              <w:bottom w:val="single" w:sz="8" w:color="auto"/>
            </w:tcBorders>
          </w:tcPr>
          <w:p>
            <w:pPr>
              <w:jc w:val="right"/>
              <w:ind w:right="335"/>
              <w:spacing w:after="0" w:line="155" w:lineRule="exact"/>
              <w:rPr>
                <w:sz w:val="20"/>
                <w:szCs w:val="20"/>
                <w:color w:val="auto"/>
              </w:rPr>
            </w:pPr>
            <w:r>
              <w:rPr>
                <w:rFonts w:ascii="Arial" w:cs="Arial" w:eastAsia="Arial" w:hAnsi="Arial"/>
                <w:sz w:val="14"/>
                <w:szCs w:val="14"/>
                <w:b w:val="1"/>
                <w:bCs w:val="1"/>
                <w:color w:val="auto"/>
              </w:rPr>
              <w:t>2020</w:t>
            </w:r>
          </w:p>
        </w:tc>
        <w:tc>
          <w:tcPr>
            <w:tcW w:w="8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980" w:type="dxa"/>
            <w:vAlign w:val="bottom"/>
            <w:shd w:val="clear" w:color="auto" w:fill="CFF0FC"/>
          </w:tcPr>
          <w:p>
            <w:pPr>
              <w:spacing w:after="0"/>
              <w:rPr>
                <w:sz w:val="20"/>
                <w:szCs w:val="20"/>
                <w:color w:val="auto"/>
              </w:rPr>
            </w:pPr>
            <w:r>
              <w:rPr>
                <w:rFonts w:ascii="Arial" w:cs="Arial" w:eastAsia="Arial" w:hAnsi="Arial"/>
                <w:sz w:val="18"/>
                <w:szCs w:val="18"/>
                <w:color w:val="auto"/>
              </w:rPr>
              <w:t>Research and development</w:t>
            </w: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425</w:t>
            </w:r>
          </w:p>
        </w:tc>
        <w:tc>
          <w:tcPr>
            <w:tcW w:w="160" w:type="dxa"/>
            <w:vAlign w:val="bottom"/>
            <w:shd w:val="clear" w:color="auto" w:fill="CFF0FC"/>
          </w:tcPr>
          <w:p>
            <w:pPr>
              <w:spacing w:after="0"/>
              <w:rPr>
                <w:sz w:val="19"/>
                <w:szCs w:val="19"/>
                <w:color w:val="auto"/>
              </w:rPr>
            </w:pPr>
          </w:p>
        </w:tc>
        <w:tc>
          <w:tcPr>
            <w:tcW w:w="260" w:type="dxa"/>
            <w:vAlign w:val="bottom"/>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213</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723</w:t>
            </w:r>
          </w:p>
        </w:tc>
        <w:tc>
          <w:tcPr>
            <w:tcW w:w="18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87"/>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390</w:t>
            </w:r>
          </w:p>
        </w:tc>
        <w:tc>
          <w:tcPr>
            <w:tcW w:w="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9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General and administrative</w:t>
            </w:r>
          </w:p>
        </w:tc>
        <w:tc>
          <w:tcPr>
            <w:tcW w:w="1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1,423</w:t>
            </w:r>
          </w:p>
        </w:tc>
        <w:tc>
          <w:tcPr>
            <w:tcW w:w="16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1,039</w:t>
            </w:r>
          </w:p>
        </w:tc>
        <w:tc>
          <w:tcPr>
            <w:tcW w:w="18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2,528</w:t>
            </w:r>
          </w:p>
        </w:tc>
        <w:tc>
          <w:tcPr>
            <w:tcW w:w="18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1,860</w:t>
            </w:r>
          </w:p>
        </w:tc>
        <w:tc>
          <w:tcPr>
            <w:tcW w:w="8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98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stock-based compensation</w:t>
            </w:r>
          </w:p>
        </w:tc>
        <w:tc>
          <w:tcPr>
            <w:tcW w:w="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1,848</w:t>
            </w:r>
          </w:p>
        </w:tc>
        <w:tc>
          <w:tcPr>
            <w:tcW w:w="160" w:type="dxa"/>
            <w:vAlign w:val="bottom"/>
            <w:tcBorders>
              <w:bottom w:val="single" w:sz="8" w:color="CFF0FC"/>
            </w:tcBorders>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1,252</w:t>
            </w:r>
          </w:p>
        </w:tc>
        <w:tc>
          <w:tcPr>
            <w:tcW w:w="180" w:type="dxa"/>
            <w:vAlign w:val="bottom"/>
            <w:tcBorders>
              <w:bottom w:val="single" w:sz="8" w:color="CFF0FC"/>
            </w:tcBorders>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3,251</w:t>
            </w:r>
          </w:p>
        </w:tc>
        <w:tc>
          <w:tcPr>
            <w:tcW w:w="180" w:type="dxa"/>
            <w:vAlign w:val="bottom"/>
            <w:tcBorders>
              <w:bottom w:val="single" w:sz="8" w:color="CFF0FC"/>
            </w:tcBorders>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jc w:val="right"/>
              <w:ind w:right="87"/>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2,250</w:t>
            </w:r>
          </w:p>
        </w:tc>
        <w:tc>
          <w:tcPr>
            <w:tcW w:w="8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Options</w:t>
      </w:r>
    </w:p>
    <w:p>
      <w:pPr>
        <w:spacing w:after="0" w:line="15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summarizes the Company’s stock option activity for the six months ended June 30, 2021:</w:t>
      </w:r>
    </w:p>
    <w:p>
      <w:pPr>
        <w:spacing w:after="0" w:line="298"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580" w:type="dxa"/>
            <w:vAlign w:val="bottom"/>
          </w:tcPr>
          <w:p>
            <w:pPr>
              <w:spacing w:after="0"/>
              <w:rPr>
                <w:sz w:val="14"/>
                <w:szCs w:val="14"/>
                <w:color w:val="auto"/>
              </w:rPr>
            </w:pPr>
          </w:p>
        </w:tc>
        <w:tc>
          <w:tcPr>
            <w:tcW w:w="35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0" w:type="dxa"/>
            <w:vAlign w:val="bottom"/>
          </w:tcPr>
          <w:p>
            <w:pPr>
              <w:jc w:val="center"/>
              <w:spacing w:after="0"/>
              <w:rPr>
                <w:sz w:val="20"/>
                <w:szCs w:val="20"/>
                <w:color w:val="auto"/>
              </w:rPr>
            </w:pPr>
            <w:r>
              <w:rPr>
                <w:rFonts w:ascii="Arial" w:cs="Arial" w:eastAsia="Arial" w:hAnsi="Arial"/>
                <w:sz w:val="14"/>
                <w:szCs w:val="14"/>
                <w:b w:val="1"/>
                <w:bCs w:val="1"/>
                <w:color w:val="auto"/>
                <w:w w:val="91"/>
              </w:rPr>
              <w:t>Weighted average</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r>
      <w:tr>
        <w:trPr>
          <w:trHeight w:val="162"/>
        </w:trPr>
        <w:tc>
          <w:tcPr>
            <w:tcW w:w="580" w:type="dxa"/>
            <w:vAlign w:val="bottom"/>
          </w:tcPr>
          <w:p>
            <w:pPr>
              <w:spacing w:after="0"/>
              <w:rPr>
                <w:sz w:val="14"/>
                <w:szCs w:val="14"/>
                <w:color w:val="auto"/>
              </w:rPr>
            </w:pPr>
          </w:p>
        </w:tc>
        <w:tc>
          <w:tcPr>
            <w:tcW w:w="35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1"/>
              </w:rPr>
              <w:t>Weighted average</w:t>
            </w:r>
          </w:p>
        </w:tc>
        <w:tc>
          <w:tcPr>
            <w:tcW w:w="1600" w:type="dxa"/>
            <w:vAlign w:val="bottom"/>
          </w:tcPr>
          <w:p>
            <w:pPr>
              <w:jc w:val="center"/>
              <w:spacing w:after="0"/>
              <w:rPr>
                <w:sz w:val="20"/>
                <w:szCs w:val="20"/>
                <w:color w:val="auto"/>
              </w:rPr>
            </w:pPr>
            <w:r>
              <w:rPr>
                <w:rFonts w:ascii="Arial" w:cs="Arial" w:eastAsia="Arial" w:hAnsi="Arial"/>
                <w:sz w:val="14"/>
                <w:szCs w:val="14"/>
                <w:b w:val="1"/>
                <w:bCs w:val="1"/>
                <w:color w:val="auto"/>
                <w:w w:val="92"/>
              </w:rPr>
              <w:t>remaining contractual</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Aggregate intrinsic</w:t>
            </w:r>
          </w:p>
        </w:tc>
        <w:tc>
          <w:tcPr>
            <w:tcW w:w="560" w:type="dxa"/>
            <w:vAlign w:val="bottom"/>
          </w:tcPr>
          <w:p>
            <w:pPr>
              <w:spacing w:after="0"/>
              <w:rPr>
                <w:sz w:val="14"/>
                <w:szCs w:val="14"/>
                <w:color w:val="auto"/>
              </w:rPr>
            </w:pPr>
          </w:p>
        </w:tc>
      </w:tr>
      <w:tr>
        <w:trPr>
          <w:trHeight w:val="171"/>
        </w:trPr>
        <w:tc>
          <w:tcPr>
            <w:tcW w:w="580" w:type="dxa"/>
            <w:vAlign w:val="bottom"/>
          </w:tcPr>
          <w:p>
            <w:pPr>
              <w:spacing w:after="0"/>
              <w:rPr>
                <w:sz w:val="14"/>
                <w:szCs w:val="14"/>
                <w:color w:val="auto"/>
              </w:rPr>
            </w:pPr>
          </w:p>
        </w:tc>
        <w:tc>
          <w:tcPr>
            <w:tcW w:w="3500" w:type="dxa"/>
            <w:vAlign w:val="bottom"/>
          </w:tcPr>
          <w:p>
            <w:pPr>
              <w:spacing w:after="0"/>
              <w:rPr>
                <w:sz w:val="14"/>
                <w:szCs w:val="14"/>
                <w:color w:val="auto"/>
              </w:rPr>
            </w:pPr>
          </w:p>
        </w:tc>
        <w:tc>
          <w:tcPr>
            <w:tcW w:w="162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rPr>
              <w:t>Number of shares</w:t>
            </w:r>
          </w:p>
        </w:tc>
        <w:tc>
          <w:tcPr>
            <w:tcW w:w="120" w:type="dxa"/>
            <w:vAlign w:val="bottom"/>
          </w:tcPr>
          <w:p>
            <w:pPr>
              <w:spacing w:after="0"/>
              <w:rPr>
                <w:sz w:val="14"/>
                <w:szCs w:val="14"/>
                <w:color w:val="auto"/>
              </w:rPr>
            </w:pPr>
          </w:p>
        </w:tc>
        <w:tc>
          <w:tcPr>
            <w:tcW w:w="15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7"/>
              </w:rPr>
              <w:t>exercise price</w:t>
            </w:r>
          </w:p>
        </w:tc>
        <w:tc>
          <w:tcPr>
            <w:tcW w:w="1600" w:type="dxa"/>
            <w:vAlign w:val="bottom"/>
          </w:tcPr>
          <w:p>
            <w:pPr>
              <w:jc w:val="center"/>
              <w:spacing w:after="0"/>
              <w:rPr>
                <w:sz w:val="20"/>
                <w:szCs w:val="20"/>
                <w:color w:val="auto"/>
              </w:rPr>
            </w:pPr>
            <w:r>
              <w:rPr>
                <w:rFonts w:ascii="Arial" w:cs="Arial" w:eastAsia="Arial" w:hAnsi="Arial"/>
                <w:sz w:val="14"/>
                <w:szCs w:val="14"/>
                <w:b w:val="1"/>
                <w:bCs w:val="1"/>
                <w:color w:val="auto"/>
                <w:w w:val="92"/>
              </w:rPr>
              <w:t>life (in years)</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value</w:t>
            </w:r>
          </w:p>
        </w:tc>
        <w:tc>
          <w:tcPr>
            <w:tcW w:w="560" w:type="dxa"/>
            <w:vAlign w:val="bottom"/>
          </w:tcPr>
          <w:p>
            <w:pPr>
              <w:spacing w:after="0"/>
              <w:rPr>
                <w:sz w:val="14"/>
                <w:szCs w:val="14"/>
                <w:color w:val="auto"/>
              </w:rPr>
            </w:pPr>
          </w:p>
        </w:tc>
      </w:tr>
      <w:tr>
        <w:trPr>
          <w:trHeight w:val="223"/>
        </w:trPr>
        <w:tc>
          <w:tcPr>
            <w:tcW w:w="580" w:type="dxa"/>
            <w:vAlign w:val="bottom"/>
          </w:tcPr>
          <w:p>
            <w:pPr>
              <w:spacing w:after="0"/>
              <w:rPr>
                <w:sz w:val="19"/>
                <w:szCs w:val="19"/>
                <w:color w:val="auto"/>
              </w:rPr>
            </w:pPr>
          </w:p>
        </w:tc>
        <w:tc>
          <w:tcPr>
            <w:tcW w:w="35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Outstanding as of December 31, 2020</w:t>
            </w:r>
          </w:p>
        </w:tc>
        <w:tc>
          <w:tcPr>
            <w:tcW w:w="14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2,901,908</w:t>
            </w:r>
          </w:p>
        </w:tc>
        <w:tc>
          <w:tcPr>
            <w:tcW w:w="20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9.57</w:t>
            </w:r>
          </w:p>
        </w:tc>
        <w:tc>
          <w:tcPr>
            <w:tcW w:w="200" w:type="dxa"/>
            <w:vAlign w:val="bottom"/>
            <w:tcBorders>
              <w:top w:val="single" w:sz="8" w:color="CFF0FC"/>
            </w:tcBorders>
            <w:shd w:val="clear" w:color="auto" w:fill="CFF0FC"/>
          </w:tcPr>
          <w:p>
            <w:pPr>
              <w:spacing w:after="0"/>
              <w:rPr>
                <w:sz w:val="19"/>
                <w:szCs w:val="19"/>
                <w:color w:val="auto"/>
              </w:rPr>
            </w:pPr>
          </w:p>
        </w:tc>
        <w:tc>
          <w:tcPr>
            <w:tcW w:w="16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8.04</w:t>
            </w:r>
          </w:p>
        </w:tc>
        <w:tc>
          <w:tcPr>
            <w:tcW w:w="20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7,702,295</w:t>
            </w:r>
          </w:p>
        </w:tc>
        <w:tc>
          <w:tcPr>
            <w:tcW w:w="100" w:type="dxa"/>
            <w:vAlign w:val="bottom"/>
            <w:tcBorders>
              <w:top w:val="single" w:sz="8" w:color="CFF0FC"/>
            </w:tcBorders>
            <w:shd w:val="clear" w:color="auto" w:fill="CFF0FC"/>
          </w:tcPr>
          <w:p>
            <w:pPr>
              <w:spacing w:after="0"/>
              <w:rPr>
                <w:sz w:val="19"/>
                <w:szCs w:val="19"/>
                <w:color w:val="auto"/>
              </w:rPr>
            </w:pPr>
          </w:p>
        </w:tc>
        <w:tc>
          <w:tcPr>
            <w:tcW w:w="560" w:type="dxa"/>
            <w:vAlign w:val="bottom"/>
          </w:tcPr>
          <w:p>
            <w:pPr>
              <w:spacing w:after="0"/>
              <w:rPr>
                <w:sz w:val="19"/>
                <w:szCs w:val="19"/>
                <w:color w:val="auto"/>
              </w:rPr>
            </w:pPr>
          </w:p>
        </w:tc>
      </w:tr>
      <w:tr>
        <w:trPr>
          <w:trHeight w:val="230"/>
        </w:trPr>
        <w:tc>
          <w:tcPr>
            <w:tcW w:w="580" w:type="dxa"/>
            <w:vAlign w:val="bottom"/>
          </w:tcPr>
          <w:p>
            <w:pPr>
              <w:spacing w:after="0"/>
              <w:rPr>
                <w:sz w:val="19"/>
                <w:szCs w:val="19"/>
                <w:color w:val="auto"/>
              </w:rPr>
            </w:pPr>
          </w:p>
        </w:tc>
        <w:tc>
          <w:tcPr>
            <w:tcW w:w="3500" w:type="dxa"/>
            <w:vAlign w:val="bottom"/>
          </w:tcPr>
          <w:p>
            <w:pPr>
              <w:ind w:left="240"/>
              <w:spacing w:after="0"/>
              <w:rPr>
                <w:sz w:val="20"/>
                <w:szCs w:val="20"/>
                <w:color w:val="auto"/>
              </w:rPr>
            </w:pPr>
            <w:r>
              <w:rPr>
                <w:rFonts w:ascii="Arial" w:cs="Arial" w:eastAsia="Arial" w:hAnsi="Arial"/>
                <w:sz w:val="18"/>
                <w:szCs w:val="18"/>
                <w:color w:val="auto"/>
              </w:rPr>
              <w:t>Granted</w:t>
            </w:r>
          </w:p>
        </w:tc>
        <w:tc>
          <w:tcPr>
            <w:tcW w:w="1420" w:type="dxa"/>
            <w:vAlign w:val="bottom"/>
          </w:tcPr>
          <w:p>
            <w:pPr>
              <w:jc w:val="right"/>
              <w:spacing w:after="0"/>
              <w:rPr>
                <w:sz w:val="20"/>
                <w:szCs w:val="20"/>
                <w:color w:val="auto"/>
              </w:rPr>
            </w:pPr>
            <w:r>
              <w:rPr>
                <w:rFonts w:ascii="Arial" w:cs="Arial" w:eastAsia="Arial" w:hAnsi="Arial"/>
                <w:sz w:val="18"/>
                <w:szCs w:val="18"/>
                <w:color w:val="auto"/>
              </w:rPr>
              <w:t>965,736</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13.93</w:t>
            </w:r>
          </w:p>
        </w:tc>
        <w:tc>
          <w:tcPr>
            <w:tcW w:w="20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r>
      <w:tr>
        <w:trPr>
          <w:trHeight w:val="230"/>
        </w:trPr>
        <w:tc>
          <w:tcPr>
            <w:tcW w:w="580" w:type="dxa"/>
            <w:vAlign w:val="bottom"/>
          </w:tcPr>
          <w:p>
            <w:pPr>
              <w:spacing w:after="0"/>
              <w:rPr>
                <w:sz w:val="19"/>
                <w:szCs w:val="19"/>
                <w:color w:val="auto"/>
              </w:rPr>
            </w:pPr>
          </w:p>
        </w:tc>
        <w:tc>
          <w:tcPr>
            <w:tcW w:w="35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Exercised</w:t>
            </w:r>
          </w:p>
        </w:tc>
        <w:tc>
          <w:tcPr>
            <w:tcW w:w="162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(39,708)</w:t>
            </w:r>
          </w:p>
        </w:tc>
        <w:tc>
          <w:tcPr>
            <w:tcW w:w="1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12.92</w:t>
            </w:r>
          </w:p>
        </w:tc>
        <w:tc>
          <w:tcPr>
            <w:tcW w:w="200" w:type="dxa"/>
            <w:vAlign w:val="bottom"/>
            <w:shd w:val="clear" w:color="auto" w:fill="CFF0FC"/>
          </w:tcPr>
          <w:p>
            <w:pPr>
              <w:spacing w:after="0"/>
              <w:rPr>
                <w:sz w:val="19"/>
                <w:szCs w:val="19"/>
                <w:color w:val="auto"/>
              </w:rPr>
            </w:pPr>
          </w:p>
        </w:tc>
        <w:tc>
          <w:tcPr>
            <w:tcW w:w="16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560" w:type="dxa"/>
            <w:vAlign w:val="bottom"/>
          </w:tcPr>
          <w:p>
            <w:pPr>
              <w:spacing w:after="0"/>
              <w:rPr>
                <w:sz w:val="19"/>
                <w:szCs w:val="19"/>
                <w:color w:val="auto"/>
              </w:rPr>
            </w:pPr>
          </w:p>
        </w:tc>
      </w:tr>
      <w:tr>
        <w:trPr>
          <w:trHeight w:val="230"/>
        </w:trPr>
        <w:tc>
          <w:tcPr>
            <w:tcW w:w="580" w:type="dxa"/>
            <w:vAlign w:val="bottom"/>
          </w:tcPr>
          <w:p>
            <w:pPr>
              <w:spacing w:after="0"/>
              <w:rPr>
                <w:sz w:val="19"/>
                <w:szCs w:val="19"/>
                <w:color w:val="auto"/>
              </w:rPr>
            </w:pPr>
          </w:p>
        </w:tc>
        <w:tc>
          <w:tcPr>
            <w:tcW w:w="3500" w:type="dxa"/>
            <w:vAlign w:val="bottom"/>
          </w:tcPr>
          <w:p>
            <w:pPr>
              <w:ind w:left="240"/>
              <w:spacing w:after="0"/>
              <w:rPr>
                <w:sz w:val="20"/>
                <w:szCs w:val="20"/>
                <w:color w:val="auto"/>
              </w:rPr>
            </w:pPr>
            <w:r>
              <w:rPr>
                <w:rFonts w:ascii="Arial" w:cs="Arial" w:eastAsia="Arial" w:hAnsi="Arial"/>
                <w:sz w:val="18"/>
                <w:szCs w:val="18"/>
                <w:color w:val="auto"/>
              </w:rPr>
              <w:t>Forfeitures</w:t>
            </w:r>
          </w:p>
        </w:tc>
        <w:tc>
          <w:tcPr>
            <w:tcW w:w="1620" w:type="dxa"/>
            <w:vAlign w:val="bottom"/>
            <w:gridSpan w:val="2"/>
          </w:tcPr>
          <w:p>
            <w:pPr>
              <w:jc w:val="right"/>
              <w:ind w:right="140"/>
              <w:spacing w:after="0"/>
              <w:rPr>
                <w:sz w:val="20"/>
                <w:szCs w:val="20"/>
                <w:color w:val="auto"/>
              </w:rPr>
            </w:pPr>
            <w:r>
              <w:rPr>
                <w:rFonts w:ascii="Arial" w:cs="Arial" w:eastAsia="Arial" w:hAnsi="Arial"/>
                <w:sz w:val="18"/>
                <w:szCs w:val="18"/>
                <w:color w:val="auto"/>
              </w:rPr>
              <w:t>(51,392)</w:t>
            </w:r>
          </w:p>
        </w:tc>
        <w:tc>
          <w:tcPr>
            <w:tcW w:w="1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14.64</w:t>
            </w:r>
          </w:p>
        </w:tc>
        <w:tc>
          <w:tcPr>
            <w:tcW w:w="20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r>
      <w:tr>
        <w:trPr>
          <w:trHeight w:val="229"/>
        </w:trPr>
        <w:tc>
          <w:tcPr>
            <w:tcW w:w="580" w:type="dxa"/>
            <w:vAlign w:val="bottom"/>
          </w:tcPr>
          <w:p>
            <w:pPr>
              <w:spacing w:after="0"/>
              <w:rPr>
                <w:sz w:val="19"/>
                <w:szCs w:val="19"/>
                <w:color w:val="auto"/>
              </w:rPr>
            </w:pPr>
          </w:p>
        </w:tc>
        <w:tc>
          <w:tcPr>
            <w:tcW w:w="35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Expired</w:t>
            </w:r>
          </w:p>
        </w:tc>
        <w:tc>
          <w:tcPr>
            <w:tcW w:w="162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(14,208)</w:t>
            </w:r>
          </w:p>
        </w:tc>
        <w:tc>
          <w:tcPr>
            <w:tcW w:w="1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12.99</w:t>
            </w:r>
          </w:p>
        </w:tc>
        <w:tc>
          <w:tcPr>
            <w:tcW w:w="200" w:type="dxa"/>
            <w:vAlign w:val="bottom"/>
            <w:shd w:val="clear" w:color="auto" w:fill="CFF0FC"/>
          </w:tcPr>
          <w:p>
            <w:pPr>
              <w:spacing w:after="0"/>
              <w:rPr>
                <w:sz w:val="19"/>
                <w:szCs w:val="19"/>
                <w:color w:val="auto"/>
              </w:rPr>
            </w:pPr>
          </w:p>
        </w:tc>
        <w:tc>
          <w:tcPr>
            <w:tcW w:w="16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560" w:type="dxa"/>
            <w:vAlign w:val="bottom"/>
          </w:tcPr>
          <w:p>
            <w:pPr>
              <w:spacing w:after="0"/>
              <w:rPr>
                <w:sz w:val="19"/>
                <w:szCs w:val="19"/>
                <w:color w:val="auto"/>
              </w:rPr>
            </w:pPr>
          </w:p>
        </w:tc>
      </w:tr>
      <w:tr>
        <w:trPr>
          <w:trHeight w:val="263"/>
        </w:trPr>
        <w:tc>
          <w:tcPr>
            <w:tcW w:w="580" w:type="dxa"/>
            <w:vAlign w:val="bottom"/>
          </w:tcPr>
          <w:p>
            <w:pPr>
              <w:spacing w:after="0"/>
              <w:rPr>
                <w:sz w:val="22"/>
                <w:szCs w:val="22"/>
                <w:color w:val="auto"/>
              </w:rPr>
            </w:pPr>
          </w:p>
        </w:tc>
        <w:tc>
          <w:tcPr>
            <w:tcW w:w="35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Outstanding as of June 30, 2021</w:t>
            </w:r>
          </w:p>
        </w:tc>
        <w:tc>
          <w:tcPr>
            <w:tcW w:w="1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3,762,336</w:t>
            </w:r>
          </w:p>
        </w:tc>
        <w:tc>
          <w:tcPr>
            <w:tcW w:w="200" w:type="dxa"/>
            <w:vAlign w:val="bottom"/>
            <w:tcBorders>
              <w:bottom w:val="single" w:sz="8" w:color="CFF0FC"/>
            </w:tcBorders>
          </w:tcPr>
          <w:p>
            <w:pPr>
              <w:spacing w:after="0"/>
              <w:rPr>
                <w:sz w:val="22"/>
                <w:szCs w:val="22"/>
                <w:color w:val="auto"/>
              </w:rPr>
            </w:pPr>
          </w:p>
        </w:tc>
        <w:tc>
          <w:tcPr>
            <w:tcW w:w="120" w:type="dxa"/>
            <w:vAlign w:val="bottom"/>
            <w:tcBorders>
              <w:bottom w:val="single" w:sz="8" w:color="CFF0FC"/>
            </w:tcBorders>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CFF0FC"/>
            </w:tcBorders>
          </w:tcPr>
          <w:p>
            <w:pPr>
              <w:jc w:val="right"/>
              <w:spacing w:after="0"/>
              <w:rPr>
                <w:sz w:val="20"/>
                <w:szCs w:val="20"/>
                <w:color w:val="auto"/>
              </w:rPr>
            </w:pPr>
            <w:r>
              <w:rPr>
                <w:rFonts w:ascii="Arial" w:cs="Arial" w:eastAsia="Arial" w:hAnsi="Arial"/>
                <w:sz w:val="18"/>
                <w:szCs w:val="18"/>
                <w:color w:val="auto"/>
              </w:rPr>
              <w:t>10.57</w:t>
            </w:r>
          </w:p>
        </w:tc>
        <w:tc>
          <w:tcPr>
            <w:tcW w:w="200" w:type="dxa"/>
            <w:vAlign w:val="bottom"/>
            <w:tcBorders>
              <w:bottom w:val="single" w:sz="8" w:color="CFF0FC"/>
            </w:tcBorders>
          </w:tcPr>
          <w:p>
            <w:pPr>
              <w:spacing w:after="0"/>
              <w:rPr>
                <w:sz w:val="22"/>
                <w:szCs w:val="22"/>
                <w:color w:val="auto"/>
              </w:rPr>
            </w:pPr>
          </w:p>
        </w:tc>
        <w:tc>
          <w:tcPr>
            <w:tcW w:w="1600" w:type="dxa"/>
            <w:vAlign w:val="bottom"/>
            <w:tcBorders>
              <w:bottom w:val="single" w:sz="8" w:color="CFF0FC"/>
            </w:tcBorders>
          </w:tcPr>
          <w:p>
            <w:pPr>
              <w:jc w:val="right"/>
              <w:spacing w:after="0"/>
              <w:rPr>
                <w:sz w:val="20"/>
                <w:szCs w:val="20"/>
                <w:color w:val="auto"/>
              </w:rPr>
            </w:pPr>
            <w:r>
              <w:rPr>
                <w:rFonts w:ascii="Arial" w:cs="Arial" w:eastAsia="Arial" w:hAnsi="Arial"/>
                <w:sz w:val="18"/>
                <w:szCs w:val="18"/>
                <w:color w:val="auto"/>
              </w:rPr>
              <w:t>8.2</w:t>
            </w:r>
          </w:p>
        </w:tc>
        <w:tc>
          <w:tcPr>
            <w:tcW w:w="320" w:type="dxa"/>
            <w:vAlign w:val="bottom"/>
            <w:tcBorders>
              <w:bottom w:val="single" w:sz="8" w:color="CFF0FC"/>
            </w:tcBorders>
            <w:gridSpan w:val="2"/>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FF0FC"/>
            </w:tcBorders>
          </w:tcPr>
          <w:p>
            <w:pPr>
              <w:jc w:val="right"/>
              <w:spacing w:after="0"/>
              <w:rPr>
                <w:sz w:val="20"/>
                <w:szCs w:val="20"/>
                <w:color w:val="auto"/>
              </w:rPr>
            </w:pPr>
            <w:r>
              <w:rPr>
                <w:rFonts w:ascii="Arial" w:cs="Arial" w:eastAsia="Arial" w:hAnsi="Arial"/>
                <w:sz w:val="18"/>
                <w:szCs w:val="18"/>
                <w:color w:val="auto"/>
              </w:rPr>
              <w:t>7,340,595</w:t>
            </w:r>
          </w:p>
        </w:tc>
        <w:tc>
          <w:tcPr>
            <w:tcW w:w="100" w:type="dxa"/>
            <w:vAlign w:val="bottom"/>
            <w:tcBorders>
              <w:bottom w:val="single" w:sz="8" w:color="CFF0FC"/>
            </w:tcBorders>
          </w:tcPr>
          <w:p>
            <w:pPr>
              <w:spacing w:after="0"/>
              <w:rPr>
                <w:sz w:val="22"/>
                <w:szCs w:val="22"/>
                <w:color w:val="auto"/>
              </w:rPr>
            </w:pPr>
          </w:p>
        </w:tc>
        <w:tc>
          <w:tcPr>
            <w:tcW w:w="560" w:type="dxa"/>
            <w:vAlign w:val="bottom"/>
          </w:tcPr>
          <w:p>
            <w:pPr>
              <w:spacing w:after="0"/>
              <w:rPr>
                <w:sz w:val="22"/>
                <w:szCs w:val="22"/>
                <w:color w:val="auto"/>
              </w:rPr>
            </w:pPr>
          </w:p>
        </w:tc>
      </w:tr>
      <w:tr>
        <w:trPr>
          <w:trHeight w:val="196"/>
        </w:trPr>
        <w:tc>
          <w:tcPr>
            <w:tcW w:w="580" w:type="dxa"/>
            <w:vAlign w:val="bottom"/>
          </w:tcPr>
          <w:p>
            <w:pPr>
              <w:spacing w:after="0"/>
              <w:rPr>
                <w:sz w:val="17"/>
                <w:szCs w:val="17"/>
                <w:color w:val="auto"/>
              </w:rPr>
            </w:pPr>
          </w:p>
        </w:tc>
        <w:tc>
          <w:tcPr>
            <w:tcW w:w="3500" w:type="dxa"/>
            <w:vAlign w:val="bottom"/>
            <w:shd w:val="clear" w:color="auto" w:fill="CFF0FC"/>
          </w:tcPr>
          <w:p>
            <w:pPr>
              <w:spacing w:after="0" w:line="195" w:lineRule="exact"/>
              <w:rPr>
                <w:sz w:val="20"/>
                <w:szCs w:val="20"/>
                <w:color w:val="auto"/>
              </w:rPr>
            </w:pPr>
            <w:r>
              <w:rPr>
                <w:rFonts w:ascii="Arial" w:cs="Arial" w:eastAsia="Arial" w:hAnsi="Arial"/>
                <w:sz w:val="18"/>
                <w:szCs w:val="18"/>
                <w:color w:val="auto"/>
              </w:rPr>
              <w:t>Options vested and exercisable as of</w:t>
            </w:r>
          </w:p>
        </w:tc>
        <w:tc>
          <w:tcPr>
            <w:tcW w:w="142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132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160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132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560" w:type="dxa"/>
            <w:vAlign w:val="bottom"/>
          </w:tcPr>
          <w:p>
            <w:pPr>
              <w:spacing w:after="0"/>
              <w:rPr>
                <w:sz w:val="17"/>
                <w:szCs w:val="17"/>
                <w:color w:val="auto"/>
              </w:rPr>
            </w:pPr>
          </w:p>
        </w:tc>
      </w:tr>
      <w:tr>
        <w:trPr>
          <w:trHeight w:val="230"/>
        </w:trPr>
        <w:tc>
          <w:tcPr>
            <w:tcW w:w="580" w:type="dxa"/>
            <w:vAlign w:val="bottom"/>
          </w:tcPr>
          <w:p>
            <w:pPr>
              <w:spacing w:after="0"/>
              <w:rPr>
                <w:sz w:val="20"/>
                <w:szCs w:val="20"/>
                <w:color w:val="auto"/>
              </w:rPr>
            </w:pPr>
          </w:p>
        </w:tc>
        <w:tc>
          <w:tcPr>
            <w:tcW w:w="3500" w:type="dxa"/>
            <w:vAlign w:val="bottom"/>
            <w:tcBorders>
              <w:bottom w:val="single" w:sz="8" w:color="CFF0FC"/>
            </w:tcBorders>
            <w:shd w:val="clear" w:color="auto" w:fill="CFF0FC"/>
          </w:tcPr>
          <w:p>
            <w:pPr>
              <w:ind w:left="140"/>
              <w:spacing w:after="0"/>
              <w:rPr>
                <w:sz w:val="20"/>
                <w:szCs w:val="20"/>
                <w:color w:val="auto"/>
              </w:rPr>
            </w:pPr>
            <w:r>
              <w:rPr>
                <w:rFonts w:ascii="Arial" w:cs="Arial" w:eastAsia="Arial" w:hAnsi="Arial"/>
                <w:sz w:val="18"/>
                <w:szCs w:val="18"/>
                <w:color w:val="auto"/>
              </w:rPr>
              <w:t>June 30, 2021</w:t>
            </w:r>
          </w:p>
        </w:tc>
        <w:tc>
          <w:tcPr>
            <w:tcW w:w="1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1,513,193</w:t>
            </w:r>
          </w:p>
        </w:tc>
        <w:tc>
          <w:tcPr>
            <w:tcW w:w="200" w:type="dxa"/>
            <w:vAlign w:val="bottom"/>
            <w:tcBorders>
              <w:bottom w:val="single" w:sz="8" w:color="CFF0FC"/>
            </w:tcBorders>
            <w:shd w:val="clear" w:color="auto" w:fill="CFF0FC"/>
          </w:tcPr>
          <w:p>
            <w:pPr>
              <w:spacing w:after="0"/>
              <w:rPr>
                <w:sz w:val="20"/>
                <w:szCs w:val="20"/>
                <w:color w:val="auto"/>
              </w:rPr>
            </w:pPr>
          </w:p>
        </w:tc>
        <w:tc>
          <w:tcPr>
            <w:tcW w:w="1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9.04</w:t>
            </w:r>
          </w:p>
        </w:tc>
        <w:tc>
          <w:tcPr>
            <w:tcW w:w="200" w:type="dxa"/>
            <w:vAlign w:val="bottom"/>
            <w:tcBorders>
              <w:bottom w:val="single" w:sz="8" w:color="CFF0FC"/>
            </w:tcBorders>
            <w:shd w:val="clear" w:color="auto" w:fill="CFF0FC"/>
          </w:tcPr>
          <w:p>
            <w:pPr>
              <w:spacing w:after="0"/>
              <w:rPr>
                <w:sz w:val="20"/>
                <w:szCs w:val="20"/>
                <w:color w:val="auto"/>
              </w:rPr>
            </w:pPr>
          </w:p>
        </w:tc>
        <w:tc>
          <w:tcPr>
            <w:tcW w:w="16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6.9</w:t>
            </w:r>
          </w:p>
        </w:tc>
        <w:tc>
          <w:tcPr>
            <w:tcW w:w="32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4,497,719</w:t>
            </w:r>
          </w:p>
        </w:tc>
        <w:tc>
          <w:tcPr>
            <w:tcW w:w="100" w:type="dxa"/>
            <w:vAlign w:val="bottom"/>
            <w:tcBorders>
              <w:bottom w:val="single" w:sz="8" w:color="CFF0FC"/>
            </w:tcBorders>
            <w:shd w:val="clear" w:color="auto" w:fill="CFF0FC"/>
          </w:tcPr>
          <w:p>
            <w:pPr>
              <w:spacing w:after="0"/>
              <w:rPr>
                <w:sz w:val="20"/>
                <w:szCs w:val="20"/>
                <w:color w:val="auto"/>
              </w:rPr>
            </w:pPr>
          </w:p>
        </w:tc>
        <w:tc>
          <w:tcPr>
            <w:tcW w:w="560" w:type="dxa"/>
            <w:vAlign w:val="bottom"/>
          </w:tcPr>
          <w:p>
            <w:pPr>
              <w:spacing w:after="0"/>
              <w:rPr>
                <w:sz w:val="20"/>
                <w:szCs w:val="20"/>
                <w:color w:val="auto"/>
              </w:rPr>
            </w:pPr>
          </w:p>
        </w:tc>
      </w:tr>
      <w:tr>
        <w:trPr>
          <w:trHeight w:val="20"/>
        </w:trPr>
        <w:tc>
          <w:tcPr>
            <w:tcW w:w="580" w:type="dxa"/>
            <w:vAlign w:val="bottom"/>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r>
      <w:tr>
        <w:trPr>
          <w:trHeight w:val="628"/>
        </w:trPr>
        <w:tc>
          <w:tcPr>
            <w:tcW w:w="580" w:type="dxa"/>
            <w:vAlign w:val="bottom"/>
          </w:tcPr>
          <w:p>
            <w:pPr>
              <w:spacing w:after="0"/>
              <w:rPr>
                <w:sz w:val="24"/>
                <w:szCs w:val="24"/>
                <w:color w:val="auto"/>
              </w:rPr>
            </w:pPr>
          </w:p>
        </w:tc>
        <w:tc>
          <w:tcPr>
            <w:tcW w:w="3500" w:type="dxa"/>
            <w:vAlign w:val="bottom"/>
          </w:tcPr>
          <w:p>
            <w:pPr>
              <w:spacing w:after="0"/>
              <w:rPr>
                <w:sz w:val="24"/>
                <w:szCs w:val="24"/>
                <w:color w:val="auto"/>
              </w:rPr>
            </w:pPr>
          </w:p>
        </w:tc>
        <w:tc>
          <w:tcPr>
            <w:tcW w:w="1740" w:type="dxa"/>
            <w:vAlign w:val="bottom"/>
            <w:gridSpan w:val="3"/>
          </w:tcPr>
          <w:p>
            <w:pPr>
              <w:jc w:val="right"/>
              <w:ind w:right="10"/>
              <w:spacing w:after="0"/>
              <w:rPr>
                <w:sz w:val="20"/>
                <w:szCs w:val="20"/>
                <w:color w:val="auto"/>
              </w:rPr>
            </w:pPr>
            <w:r>
              <w:rPr>
                <w:rFonts w:ascii="Arial" w:cs="Arial" w:eastAsia="Arial" w:hAnsi="Arial"/>
                <w:sz w:val="18"/>
                <w:szCs w:val="18"/>
                <w:color w:val="auto"/>
              </w:rPr>
              <w:t>12</w:t>
            </w:r>
          </w:p>
        </w:tc>
        <w:tc>
          <w:tcPr>
            <w:tcW w:w="1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r>
      <w:tr>
        <w:trPr>
          <w:trHeight w:val="115"/>
        </w:trPr>
        <w:tc>
          <w:tcPr>
            <w:tcW w:w="580" w:type="dxa"/>
            <w:vAlign w:val="bottom"/>
            <w:tcBorders>
              <w:bottom w:val="single" w:sz="8" w:color="9A9A9A"/>
            </w:tcBorders>
          </w:tcPr>
          <w:p>
            <w:pPr>
              <w:spacing w:after="0"/>
              <w:rPr>
                <w:sz w:val="10"/>
                <w:szCs w:val="10"/>
                <w:color w:val="auto"/>
              </w:rPr>
            </w:pPr>
          </w:p>
        </w:tc>
        <w:tc>
          <w:tcPr>
            <w:tcW w:w="3500" w:type="dxa"/>
            <w:vAlign w:val="bottom"/>
            <w:tcBorders>
              <w:bottom w:val="single" w:sz="8" w:color="9A9A9A"/>
            </w:tcBorders>
          </w:tcPr>
          <w:p>
            <w:pPr>
              <w:spacing w:after="0"/>
              <w:rPr>
                <w:sz w:val="10"/>
                <w:szCs w:val="10"/>
                <w:color w:val="auto"/>
              </w:rPr>
            </w:pPr>
          </w:p>
        </w:tc>
        <w:tc>
          <w:tcPr>
            <w:tcW w:w="142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32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160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3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4" w:name="page15"/>
    <w:bookmarkEnd w:id="14"/>
    <w:p>
      <w:pPr>
        <w:ind w:right="180" w:firstLine="510"/>
        <w:spacing w:after="0" w:line="277" w:lineRule="auto"/>
        <w:rPr>
          <w:sz w:val="20"/>
          <w:szCs w:val="20"/>
          <w:color w:val="auto"/>
        </w:rPr>
      </w:pPr>
      <w:r>
        <w:rPr>
          <w:rFonts w:ascii="Arial" w:cs="Arial" w:eastAsia="Arial" w:hAnsi="Arial"/>
          <w:sz w:val="18"/>
          <w:szCs w:val="18"/>
          <w:color w:val="auto"/>
        </w:rPr>
        <w:t>As of June 30, 2021, the total unrecognized compensation related to unvested stock option awards granted was $16.8 million, which the Company expects to recognize over a weighted-average period of 3.09 years.</w:t>
      </w:r>
    </w:p>
    <w:p>
      <w:pPr>
        <w:spacing w:after="0" w:line="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Stock</w:t>
      </w:r>
    </w:p>
    <w:p>
      <w:pPr>
        <w:spacing w:after="0" w:line="225" w:lineRule="exact"/>
        <w:rPr>
          <w:sz w:val="20"/>
          <w:szCs w:val="20"/>
          <w:color w:val="auto"/>
        </w:rPr>
      </w:pPr>
    </w:p>
    <w:p>
      <w:pPr>
        <w:ind w:right="120" w:firstLine="510"/>
        <w:spacing w:after="0" w:line="259" w:lineRule="auto"/>
        <w:rPr>
          <w:sz w:val="20"/>
          <w:szCs w:val="20"/>
          <w:color w:val="auto"/>
        </w:rPr>
      </w:pPr>
      <w:r>
        <w:rPr>
          <w:rFonts w:ascii="Arial" w:cs="Arial" w:eastAsia="Arial" w:hAnsi="Arial"/>
          <w:sz w:val="18"/>
          <w:szCs w:val="18"/>
          <w:color w:val="auto"/>
        </w:rPr>
        <w:t>In November 2019 and August 2020, the Company granted 300,000 and 250,000 restricted stock units, respectively to its executive officers. As of June 30, 2021, 475,000 restricted stock units were outstanding. The restricted stock units vest 50% upon receipt of regulatory approval of the Company’s new drug application for VP-102 for the treatment of molluscum (the “Approval Date”) and 50% shall vest on the one year anniversary of the Approval Date subject to the holders’ continuous service through each applicable date.</w:t>
      </w:r>
    </w:p>
    <w:p>
      <w:pPr>
        <w:spacing w:after="0" w:line="18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is a summary of changes in the status of non-vested RSUs:</w:t>
      </w:r>
    </w:p>
    <w:p>
      <w:pPr>
        <w:spacing w:after="0" w:line="15"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632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1"/>
              </w:rPr>
              <w:t>Weighted Average</w:t>
            </w:r>
          </w:p>
        </w:tc>
      </w:tr>
      <w:tr>
        <w:trPr>
          <w:trHeight w:val="162"/>
        </w:trPr>
        <w:tc>
          <w:tcPr>
            <w:tcW w:w="632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8"/>
              </w:rPr>
              <w:t>Grant Date Fair</w:t>
            </w:r>
          </w:p>
        </w:tc>
      </w:tr>
      <w:tr>
        <w:trPr>
          <w:trHeight w:val="171"/>
        </w:trPr>
        <w:tc>
          <w:tcPr>
            <w:tcW w:w="6320" w:type="dxa"/>
            <w:vAlign w:val="bottom"/>
          </w:tcPr>
          <w:p>
            <w:pPr>
              <w:spacing w:after="0"/>
              <w:rPr>
                <w:sz w:val="14"/>
                <w:szCs w:val="14"/>
                <w:color w:val="auto"/>
              </w:rPr>
            </w:pPr>
          </w:p>
        </w:tc>
        <w:tc>
          <w:tcPr>
            <w:tcW w:w="1940" w:type="dxa"/>
            <w:vAlign w:val="bottom"/>
            <w:gridSpan w:val="2"/>
          </w:tcPr>
          <w:p>
            <w:pPr>
              <w:ind w:left="280"/>
              <w:spacing w:after="0"/>
              <w:rPr>
                <w:sz w:val="20"/>
                <w:szCs w:val="20"/>
                <w:color w:val="auto"/>
              </w:rPr>
            </w:pPr>
            <w:r>
              <w:rPr>
                <w:rFonts w:ascii="Arial" w:cs="Arial" w:eastAsia="Arial" w:hAnsi="Arial"/>
                <w:sz w:val="14"/>
                <w:szCs w:val="14"/>
                <w:b w:val="1"/>
                <w:bCs w:val="1"/>
                <w:color w:val="auto"/>
              </w:rPr>
              <w:t>Number of Shares</w:t>
            </w:r>
          </w:p>
        </w:tc>
        <w:tc>
          <w:tcPr>
            <w:tcW w:w="200" w:type="dxa"/>
            <w:vAlign w:val="bottom"/>
          </w:tcPr>
          <w:p>
            <w:pPr>
              <w:spacing w:after="0"/>
              <w:rPr>
                <w:sz w:val="14"/>
                <w:szCs w:val="14"/>
                <w:color w:val="auto"/>
              </w:rPr>
            </w:pPr>
          </w:p>
        </w:tc>
        <w:tc>
          <w:tcPr>
            <w:tcW w:w="16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0"/>
              </w:rPr>
              <w:t>Value</w:t>
            </w:r>
          </w:p>
        </w:tc>
      </w:tr>
      <w:tr>
        <w:trPr>
          <w:trHeight w:val="223"/>
        </w:trPr>
        <w:tc>
          <w:tcPr>
            <w:tcW w:w="63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Nonvested as of December 31, 2020</w:t>
            </w:r>
          </w:p>
        </w:tc>
        <w:tc>
          <w:tcPr>
            <w:tcW w:w="17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475,000</w:t>
            </w:r>
          </w:p>
        </w:tc>
        <w:tc>
          <w:tcPr>
            <w:tcW w:w="24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jc w:val="right"/>
              <w:ind w:right="47"/>
              <w:spacing w:after="0"/>
              <w:rPr>
                <w:sz w:val="20"/>
                <w:szCs w:val="20"/>
                <w:color w:val="auto"/>
              </w:rPr>
            </w:pPr>
            <w:r>
              <w:rPr>
                <w:rFonts w:ascii="Arial" w:cs="Arial" w:eastAsia="Arial" w:hAnsi="Arial"/>
                <w:sz w:val="15"/>
                <w:szCs w:val="15"/>
                <w:color w:val="auto"/>
                <w:w w:val="71"/>
              </w:rPr>
              <w:t>$</w:t>
            </w:r>
          </w:p>
        </w:tc>
        <w:tc>
          <w:tcPr>
            <w:tcW w:w="15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11.74</w:t>
            </w:r>
          </w:p>
        </w:tc>
        <w:tc>
          <w:tcPr>
            <w:tcW w:w="120" w:type="dxa"/>
            <w:vAlign w:val="bottom"/>
            <w:tcBorders>
              <w:top w:val="single" w:sz="8" w:color="CFF0FC"/>
            </w:tcBorders>
            <w:shd w:val="clear" w:color="auto" w:fill="CFF0FC"/>
          </w:tcPr>
          <w:p>
            <w:pPr>
              <w:spacing w:after="0"/>
              <w:rPr>
                <w:sz w:val="19"/>
                <w:szCs w:val="19"/>
                <w:color w:val="auto"/>
              </w:rPr>
            </w:pPr>
          </w:p>
        </w:tc>
      </w:tr>
      <w:tr>
        <w:trPr>
          <w:trHeight w:val="229"/>
        </w:trPr>
        <w:tc>
          <w:tcPr>
            <w:tcW w:w="6320" w:type="dxa"/>
            <w:vAlign w:val="bottom"/>
          </w:tcPr>
          <w:p>
            <w:pPr>
              <w:ind w:left="120"/>
              <w:spacing w:after="0"/>
              <w:rPr>
                <w:sz w:val="20"/>
                <w:szCs w:val="20"/>
                <w:color w:val="auto"/>
              </w:rPr>
            </w:pPr>
            <w:r>
              <w:rPr>
                <w:rFonts w:ascii="Arial" w:cs="Arial" w:eastAsia="Arial" w:hAnsi="Arial"/>
                <w:sz w:val="18"/>
                <w:szCs w:val="18"/>
                <w:color w:val="auto"/>
              </w:rPr>
              <w:t>Granted</w:t>
            </w:r>
          </w:p>
        </w:tc>
        <w:tc>
          <w:tcPr>
            <w:tcW w:w="19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6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30"/>
        </w:trPr>
        <w:tc>
          <w:tcPr>
            <w:tcW w:w="6320" w:type="dxa"/>
            <w:vAlign w:val="bottom"/>
            <w:shd w:val="clear" w:color="auto" w:fill="CFF0FC"/>
          </w:tcPr>
          <w:p>
            <w:pPr>
              <w:ind w:left="120"/>
              <w:spacing w:after="0"/>
              <w:rPr>
                <w:sz w:val="20"/>
                <w:szCs w:val="20"/>
                <w:color w:val="auto"/>
              </w:rPr>
            </w:pPr>
            <w:r>
              <w:rPr>
                <w:rFonts w:ascii="Arial" w:cs="Arial" w:eastAsia="Arial" w:hAnsi="Arial"/>
                <w:sz w:val="18"/>
                <w:szCs w:val="18"/>
                <w:color w:val="auto"/>
              </w:rPr>
              <w:t>Forfeitures</w:t>
            </w:r>
          </w:p>
        </w:tc>
        <w:tc>
          <w:tcPr>
            <w:tcW w:w="194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r>
      <w:tr>
        <w:trPr>
          <w:trHeight w:val="223"/>
        </w:trPr>
        <w:tc>
          <w:tcPr>
            <w:tcW w:w="6320" w:type="dxa"/>
            <w:vAlign w:val="bottom"/>
          </w:tcPr>
          <w:p>
            <w:pPr>
              <w:spacing w:after="0"/>
              <w:rPr>
                <w:sz w:val="20"/>
                <w:szCs w:val="20"/>
                <w:color w:val="auto"/>
              </w:rPr>
            </w:pPr>
            <w:r>
              <w:rPr>
                <w:rFonts w:ascii="Arial" w:cs="Arial" w:eastAsia="Arial" w:hAnsi="Arial"/>
                <w:sz w:val="18"/>
                <w:szCs w:val="18"/>
                <w:color w:val="auto"/>
              </w:rPr>
              <w:t>Nonvested as of June 30, 2021</w:t>
            </w: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475,000</w:t>
            </w:r>
          </w:p>
        </w:tc>
        <w:tc>
          <w:tcPr>
            <w:tcW w:w="24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1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11.74</w:t>
            </w:r>
          </w:p>
        </w:tc>
        <w:tc>
          <w:tcPr>
            <w:tcW w:w="120" w:type="dxa"/>
            <w:vAlign w:val="bottom"/>
          </w:tcPr>
          <w:p>
            <w:pPr>
              <w:spacing w:after="0"/>
              <w:rPr>
                <w:sz w:val="19"/>
                <w:szCs w:val="19"/>
                <w:color w:val="auto"/>
              </w:rPr>
            </w:pPr>
          </w:p>
        </w:tc>
      </w:tr>
      <w:tr>
        <w:trPr>
          <w:trHeight w:val="20"/>
        </w:trPr>
        <w:tc>
          <w:tcPr>
            <w:tcW w:w="632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310" w:lineRule="exact"/>
        <w:rPr>
          <w:sz w:val="20"/>
          <w:szCs w:val="20"/>
          <w:color w:val="auto"/>
        </w:rPr>
      </w:pPr>
    </w:p>
    <w:p>
      <w:pPr>
        <w:ind w:right="60" w:firstLine="510"/>
        <w:spacing w:after="0" w:line="263" w:lineRule="auto"/>
        <w:rPr>
          <w:sz w:val="20"/>
          <w:szCs w:val="20"/>
          <w:color w:val="auto"/>
        </w:rPr>
      </w:pPr>
      <w:r>
        <w:rPr>
          <w:rFonts w:ascii="Arial" w:cs="Arial" w:eastAsia="Arial" w:hAnsi="Arial"/>
          <w:sz w:val="18"/>
          <w:szCs w:val="18"/>
          <w:color w:val="auto"/>
        </w:rPr>
        <w:t>No compensation expenses have been recognized for these nonvested restricted stock units as these shares are performance based and the triggering event was not determined to be probable as of June 30, 2021. As of June 30, 2021, the total unrecognized compensation expense related to the restricted stock units was $5.6 million.</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9—Related Party Transactions</w:t>
      </w:r>
    </w:p>
    <w:p>
      <w:pPr>
        <w:spacing w:after="0" w:line="229" w:lineRule="exact"/>
        <w:rPr>
          <w:sz w:val="20"/>
          <w:szCs w:val="20"/>
          <w:color w:val="auto"/>
        </w:rPr>
      </w:pPr>
    </w:p>
    <w:p>
      <w:pPr>
        <w:ind w:right="120" w:firstLine="510"/>
        <w:spacing w:after="0" w:line="259" w:lineRule="auto"/>
        <w:rPr>
          <w:sz w:val="20"/>
          <w:szCs w:val="20"/>
          <w:color w:val="auto"/>
        </w:rPr>
      </w:pPr>
      <w:r>
        <w:rPr>
          <w:rFonts w:ascii="Arial" w:cs="Arial" w:eastAsia="Arial" w:hAnsi="Arial"/>
          <w:sz w:val="18"/>
          <w:szCs w:val="18"/>
          <w:color w:val="212529"/>
        </w:rPr>
        <w:t>Prior to the completion of the initial public offering (“IPO”) of the Company’s common stock in June 2018, the Company was controlled by PBM VP Holdings, LLC (“PBM VP Holdings”) an affiliate of PBM Capital Group, LLC (“PBM”). Paul B. Manning, who is the Chairman and Chief Executive Officer of PBM and the current chairman of the Company’s Board of Directors, and certain entities affiliated with Mr. Manning, continue to be the Company’s largest shareholder on a collective basis.</w:t>
      </w:r>
    </w:p>
    <w:p>
      <w:pPr>
        <w:spacing w:after="0" w:line="187" w:lineRule="exact"/>
        <w:rPr>
          <w:sz w:val="20"/>
          <w:szCs w:val="20"/>
          <w:color w:val="auto"/>
        </w:rPr>
      </w:pPr>
    </w:p>
    <w:p>
      <w:pPr>
        <w:ind w:firstLine="510"/>
        <w:spacing w:after="0" w:line="255" w:lineRule="auto"/>
        <w:rPr>
          <w:sz w:val="20"/>
          <w:szCs w:val="20"/>
          <w:color w:val="auto"/>
        </w:rPr>
      </w:pPr>
      <w:r>
        <w:rPr>
          <w:rFonts w:ascii="Arial" w:cs="Arial" w:eastAsia="Arial" w:hAnsi="Arial"/>
          <w:sz w:val="18"/>
          <w:szCs w:val="18"/>
          <w:color w:val="212529"/>
        </w:rPr>
        <w:t>On December 2, 2015, the Company entered into a Services Agreement (the “SA”) with PBM. Pursuant to the terms of the SA, which had an initial term of twelve months (and was automatically renewable for successive monthly periods), PBM rendered advisory and consulting services to the Company. Services provided under the SA included certain business development, operations, technical, contract, accounting and back office support services. In consideration for these services, the Company was obligated to pay PBM a monthly management fee. On January 1, 2019, the Company amended the SA with PBM, decreasing the monthly fee to $26,333. On October 1, 2019, the SA was amended to reduce the monthly management fee to $5,000 as a result of a reduction in services provided by PBM.</w:t>
      </w:r>
    </w:p>
    <w:p>
      <w:pPr>
        <w:spacing w:after="0" w:line="192" w:lineRule="exact"/>
        <w:rPr>
          <w:sz w:val="20"/>
          <w:szCs w:val="20"/>
          <w:color w:val="auto"/>
        </w:rPr>
      </w:pPr>
    </w:p>
    <w:p>
      <w:pPr>
        <w:ind w:right="20" w:firstLine="674"/>
        <w:spacing w:after="0" w:line="277" w:lineRule="auto"/>
        <w:rPr>
          <w:sz w:val="20"/>
          <w:szCs w:val="20"/>
          <w:color w:val="auto"/>
        </w:rPr>
      </w:pPr>
      <w:r>
        <w:rPr>
          <w:rFonts w:ascii="Arial" w:cs="Arial" w:eastAsia="Arial" w:hAnsi="Arial"/>
          <w:sz w:val="18"/>
          <w:szCs w:val="18"/>
          <w:color w:val="auto"/>
        </w:rPr>
        <w:t>For the three months ended June 30, 2021 and 2020, the Company incurred expenses under the SA of $15,000 for each period. For the six months ended June 30, 2021 and 2020, the Company incurred expenses under the SA of $30,000 for each period.</w:t>
      </w:r>
    </w:p>
    <w:p>
      <w:pPr>
        <w:spacing w:after="0" w:line="170" w:lineRule="exact"/>
        <w:rPr>
          <w:sz w:val="20"/>
          <w:szCs w:val="20"/>
          <w:color w:val="auto"/>
        </w:rPr>
      </w:pPr>
    </w:p>
    <w:p>
      <w:pPr>
        <w:ind w:left="520"/>
        <w:spacing w:after="0"/>
        <w:rPr>
          <w:sz w:val="20"/>
          <w:szCs w:val="20"/>
          <w:color w:val="auto"/>
        </w:rPr>
      </w:pPr>
      <w:r>
        <w:rPr>
          <w:rFonts w:ascii="Arial" w:cs="Arial" w:eastAsia="Arial" w:hAnsi="Arial"/>
          <w:sz w:val="18"/>
          <w:szCs w:val="18"/>
          <w:color w:val="212529"/>
        </w:rPr>
        <w:t>As of June 30, 2021, the Company had no payables due to PBM and its affiliates.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10—Commitments and Contingencies</w:t>
      </w:r>
    </w:p>
    <w:p>
      <w:pPr>
        <w:spacing w:after="0" w:line="121" w:lineRule="exact"/>
        <w:rPr>
          <w:sz w:val="20"/>
          <w:szCs w:val="20"/>
          <w:color w:val="auto"/>
        </w:rPr>
      </w:pPr>
    </w:p>
    <w:p>
      <w:pPr>
        <w:ind w:right="380" w:firstLine="674"/>
        <w:spacing w:after="0" w:line="263" w:lineRule="auto"/>
        <w:rPr>
          <w:sz w:val="20"/>
          <w:szCs w:val="20"/>
          <w:color w:val="auto"/>
        </w:rPr>
      </w:pPr>
      <w:r>
        <w:rPr>
          <w:rFonts w:ascii="Arial" w:cs="Arial" w:eastAsia="Arial" w:hAnsi="Arial"/>
          <w:sz w:val="18"/>
          <w:szCs w:val="18"/>
          <w:color w:val="auto"/>
        </w:rPr>
        <w:t>The Company is involved in ordinary, routine legal proceedings that are not considered by management to be material. In the opinion of Company counsel and management, the ultimate liabilities resulting from such legal proceedings will not materially affect the financial position of the Company or its results of operations or cash flows.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11—License and Collaboration Agreements</w:t>
      </w:r>
    </w:p>
    <w:p>
      <w:pPr>
        <w:spacing w:after="0" w:line="121" w:lineRule="exact"/>
        <w:rPr>
          <w:sz w:val="20"/>
          <w:szCs w:val="20"/>
          <w:color w:val="auto"/>
        </w:rPr>
      </w:pPr>
    </w:p>
    <w:p>
      <w:pPr>
        <w:ind w:right="140" w:firstLine="510"/>
        <w:spacing w:after="0" w:line="259" w:lineRule="auto"/>
        <w:rPr>
          <w:sz w:val="20"/>
          <w:szCs w:val="20"/>
          <w:color w:val="auto"/>
        </w:rPr>
      </w:pPr>
      <w:r>
        <w:rPr>
          <w:rFonts w:ascii="Arial" w:cs="Arial" w:eastAsia="Arial" w:hAnsi="Arial"/>
          <w:sz w:val="18"/>
          <w:szCs w:val="18"/>
          <w:color w:val="212529"/>
        </w:rPr>
        <w:t>In August 2020, the Company entered into an option agreement with Torii Pharmaceutical Co., Ltd. (“Torii”) for the development and commercialization of the Company’s product candidates for the treatment of molluscum contagiosum and common warts in Japan, including VP-102 (the “Option Agreement”). Torii paid the Company $0.5 million to secure the exclusive option. The $0.5 million is included in deferred revenue as of December 31, 2020 in the balance sheet.</w:t>
      </w:r>
    </w:p>
    <w:p>
      <w:pPr>
        <w:spacing w:after="0" w:line="187" w:lineRule="exact"/>
        <w:rPr>
          <w:sz w:val="20"/>
          <w:szCs w:val="20"/>
          <w:color w:val="auto"/>
        </w:rPr>
      </w:pPr>
    </w:p>
    <w:p>
      <w:pPr>
        <w:ind w:right="280" w:firstLine="510"/>
        <w:spacing w:after="0" w:line="277" w:lineRule="auto"/>
        <w:rPr>
          <w:sz w:val="20"/>
          <w:szCs w:val="20"/>
          <w:color w:val="auto"/>
        </w:rPr>
      </w:pPr>
      <w:r>
        <w:rPr>
          <w:rFonts w:ascii="Arial" w:cs="Arial" w:eastAsia="Arial" w:hAnsi="Arial"/>
          <w:sz w:val="18"/>
          <w:szCs w:val="18"/>
          <w:color w:val="212529"/>
        </w:rPr>
        <w:t>On March 2, 2021, Torii exercised the exclusive option in the Option Agreement. On March 17, 2021, the Company entered into a collaboration and license agreement (the “Torii Agreement”) with Torii, pursuant to which the Company granted Torii an</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98" w:right="359" w:bottom="1440" w:gutter="0" w:footer="0" w:header="0"/>
        </w:sectPr>
      </w:pPr>
    </w:p>
    <w:bookmarkStart w:id="15" w:name="page16"/>
    <w:bookmarkEnd w:id="15"/>
    <w:p>
      <w:pPr>
        <w:ind w:right="100"/>
        <w:spacing w:after="0" w:line="311" w:lineRule="auto"/>
        <w:rPr>
          <w:sz w:val="20"/>
          <w:szCs w:val="20"/>
          <w:color w:val="auto"/>
        </w:rPr>
      </w:pPr>
      <w:r>
        <w:rPr>
          <w:rFonts w:ascii="Arial" w:cs="Arial" w:eastAsia="Arial" w:hAnsi="Arial"/>
          <w:sz w:val="16"/>
          <w:szCs w:val="16"/>
          <w:color w:val="212529"/>
        </w:rPr>
        <w:t>exclusive license to develop and commercialize the Company’s product candidates that contain a topical formulation of cantharidin for the treatment of molluscum contagiosum and common warts in Japan, including VP-102. Additionally, the Company granted Torii a right of first negotiation with respect to additional indications for the licensed products and certain additional products for use in the licensed field, in each case in Japan.</w:t>
      </w:r>
    </w:p>
    <w:p>
      <w:pPr>
        <w:spacing w:after="0" w:line="41" w:lineRule="exact"/>
        <w:rPr>
          <w:sz w:val="20"/>
          <w:szCs w:val="20"/>
          <w:color w:val="auto"/>
        </w:rPr>
      </w:pPr>
    </w:p>
    <w:p>
      <w:pPr>
        <w:ind w:right="20" w:firstLine="510"/>
        <w:spacing w:after="0" w:line="254" w:lineRule="auto"/>
        <w:rPr>
          <w:sz w:val="20"/>
          <w:szCs w:val="20"/>
          <w:color w:val="auto"/>
        </w:rPr>
      </w:pPr>
      <w:r>
        <w:rPr>
          <w:rFonts w:ascii="Arial" w:cs="Arial" w:eastAsia="Arial" w:hAnsi="Arial"/>
          <w:sz w:val="18"/>
          <w:szCs w:val="18"/>
          <w:color w:val="212529"/>
        </w:rPr>
        <w:t>Pursuant to the Torii Agreement, the Company received payments from Torii of $0.5 million in December 2020 and $11.5 million in April 2021. Additionally, the Company is entitled to receive from Torii an additional $58 million in aggregate payments contingent on achievement of specified development, regulatory, and sales milestones, in addition to tiered transfer price payments for supply of product in the percentage range of the mid-30’s to the mid-40’s of net sales. The transfer payments shall be payable, on a product-by-product basis, beginning on the first commercial sale of such product and ending on the latest of (a) expiration of the last-to-expire valid claim contained in certain licensed patents in Japan that cover such product, (b) expiration of regulatory exclusivity for the first indication for such product in Japan, and, (c) (i) with respect to the first product, ten years after first commercial sale of such product, and, (ii) with respect to any other product, the later of (x) ten years after first commercial sale of the first product and (y) five years after first commercial sale of such product.</w:t>
      </w:r>
    </w:p>
    <w:p>
      <w:pPr>
        <w:spacing w:after="0" w:line="84" w:lineRule="exact"/>
        <w:rPr>
          <w:sz w:val="20"/>
          <w:szCs w:val="20"/>
          <w:color w:val="auto"/>
        </w:rPr>
      </w:pPr>
    </w:p>
    <w:p>
      <w:pPr>
        <w:ind w:firstLine="510"/>
        <w:spacing w:after="0" w:line="279" w:lineRule="auto"/>
        <w:rPr>
          <w:sz w:val="20"/>
          <w:szCs w:val="20"/>
          <w:color w:val="auto"/>
        </w:rPr>
      </w:pPr>
      <w:r>
        <w:rPr>
          <w:rFonts w:ascii="Arial" w:cs="Arial" w:eastAsia="Arial" w:hAnsi="Arial"/>
          <w:sz w:val="17"/>
          <w:szCs w:val="17"/>
          <w:color w:val="212529"/>
        </w:rPr>
        <w:t>The Torii Agreement expires on a product-by-product basis upon expiration of Torii’s obligation under the agreement to make transfer price payments for such product. Torii has the right to terminate the agreement upon specified prior written notice to us. Additionally, either party may terminate the agreement in the event of an uncured material breach of the agreement by, or insolvency of, the other party. The Company may terminate the agreement in the event that Torii commences a legal action challenging the validity, enforceability or scope of any licensed patents.</w:t>
      </w:r>
    </w:p>
    <w:p>
      <w:pPr>
        <w:spacing w:after="0" w:line="63" w:lineRule="exact"/>
        <w:rPr>
          <w:sz w:val="20"/>
          <w:szCs w:val="20"/>
          <w:color w:val="auto"/>
        </w:rPr>
      </w:pPr>
    </w:p>
    <w:p>
      <w:pPr>
        <w:ind w:left="520"/>
        <w:spacing w:after="0"/>
        <w:rPr>
          <w:sz w:val="20"/>
          <w:szCs w:val="20"/>
          <w:color w:val="auto"/>
        </w:rPr>
      </w:pPr>
      <w:r>
        <w:rPr>
          <w:rFonts w:ascii="Arial" w:cs="Arial" w:eastAsia="Arial" w:hAnsi="Arial"/>
          <w:sz w:val="16"/>
          <w:szCs w:val="16"/>
          <w:color w:val="212529"/>
        </w:rPr>
        <w:t>In August 2020, the Company entered into an exclusive license agreement with Lytix Biopharma AS (“Lytix”) for the use of licensed technology to</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212529"/>
        </w:rPr>
        <w:t>research, develop, manufacture, have manufactured, use, sell, have sold, offer for sale, import, and otherwise commercialize products for use in all</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212529"/>
        </w:rPr>
        <w:t>malignant and pre-malignant dermatological indications, other than metastatic melanoma and metastatic merkel cell carcinoma (the” Lytix</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212529"/>
        </w:rPr>
        <w:t>Agreement”). As part of the Lytix Agreement, the Company paid Lytix a one-time up-front fee of $0.3 million in 2020. In addition, in February 2021,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212529"/>
        </w:rPr>
        <w:t>Company paid Lytix a one-time $2.3 million payment upon the achievement by Lytix of a regulatory milestone. The $0.3 and $2.3 million payments were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212529"/>
        </w:rPr>
        <w:t>recognized in research and development expense in the statement of operations for the year ended December 31, 2020 and the six months ended June 30,</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212529"/>
        </w:rPr>
        <w:t xml:space="preserve">2021, respectively.  </w:t>
      </w:r>
      <w:r>
        <w:rPr>
          <w:rFonts w:ascii="Arial" w:cs="Arial" w:eastAsia="Arial" w:hAnsi="Arial"/>
          <w:sz w:val="16"/>
          <w:szCs w:val="16"/>
          <w:color w:val="000000"/>
        </w:rPr>
        <w:t>The Company is also obligated to pay up to $111.0 million contingent on achievement of specified development, regulatory, and sales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milestones, as well as tiered royalties based on worldwide annual net sales ranging in the low double digits to the mid-teens, subject to certain customary</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reductions. The Company’s obligation to pay royalties expires on a country-by-country and product-by-product basis on the later of the expiration or</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abandonment of the last to expire licensed patent covering LTX-315 anywhere in the world and expiration of regulatory exclusivity for LTX-315 in such</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country. Additionally, all upfront fees and milestone based payments received by the Company from a sublicensee will be treated as net sales and will be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subject to the royalty payment obligations under the Lytix Agreement, and all royalties received by the Company from a sublicensee shall be shared with</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Lytix at a rate that is initially 50% but decreases based on the stage of development of LTX-315 at the time such sublicense is granted.</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 Subsequent Event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20" w:top="557" w:right="399" w:bottom="1440" w:gutter="0" w:footer="0" w:header="0"/>
        </w:sectPr>
      </w:pPr>
    </w:p>
    <w:bookmarkStart w:id="16" w:name="page17"/>
    <w:bookmarkEnd w:id="16"/>
    <w:p>
      <w:pPr>
        <w:spacing w:after="0"/>
        <w:tabs>
          <w:tab w:leader="none" w:pos="10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color w:val="auto"/>
        </w:rPr>
        <w:t>Management’s Discussion and Analysis of Financial Condition and Results of Operations</w:t>
      </w:r>
    </w:p>
    <w:p>
      <w:pPr>
        <w:spacing w:after="0" w:line="121" w:lineRule="exact"/>
        <w:rPr>
          <w:sz w:val="20"/>
          <w:szCs w:val="20"/>
          <w:color w:val="auto"/>
        </w:rPr>
      </w:pPr>
    </w:p>
    <w:p>
      <w:pPr>
        <w:ind w:right="100" w:firstLine="510"/>
        <w:spacing w:after="0" w:line="275" w:lineRule="auto"/>
        <w:rPr>
          <w:sz w:val="20"/>
          <w:szCs w:val="20"/>
          <w:color w:val="auto"/>
        </w:rPr>
      </w:pPr>
      <w:r>
        <w:rPr>
          <w:rFonts w:ascii="Arial" w:cs="Arial" w:eastAsia="Arial" w:hAnsi="Arial"/>
          <w:sz w:val="17"/>
          <w:szCs w:val="17"/>
          <w:i w:val="1"/>
          <w:iCs w:val="1"/>
          <w:color w:val="auto"/>
        </w:rPr>
        <w:t>You should read the following discussion and analysis of our financial condition and results of operations in conjunction with (i) our unaudited interim condensed financial statements and the related notes thereto included elsewhere in this Quarterly Report on Form 10-Q and (ii) our audited financial statements and notes thereto and management’s discussion and analysis of financial condition and results of operations for the years ended December 31, 2019 and 2020 included in our Annual Report on Form 10-K for the year ended December 31, 2020, filed with the Securities and Exchange Commission (the “SEC”) on March 17, 2021. Our financial statements have been prepared in accordance with U.S. GAAP.</w:t>
      </w:r>
    </w:p>
    <w:p>
      <w:pPr>
        <w:spacing w:after="0" w:line="68" w:lineRule="exact"/>
        <w:rPr>
          <w:sz w:val="20"/>
          <w:szCs w:val="20"/>
          <w:color w:val="auto"/>
        </w:rPr>
      </w:pPr>
    </w:p>
    <w:p>
      <w:pPr>
        <w:ind w:right="120" w:firstLine="510"/>
        <w:spacing w:after="0" w:line="229" w:lineRule="auto"/>
        <w:rPr>
          <w:sz w:val="20"/>
          <w:szCs w:val="20"/>
          <w:color w:val="auto"/>
        </w:rPr>
      </w:pPr>
      <w:r>
        <w:rPr>
          <w:rFonts w:ascii="Arial" w:cs="Arial" w:eastAsia="Arial" w:hAnsi="Arial"/>
          <w:sz w:val="18"/>
          <w:szCs w:val="18"/>
          <w:i w:val="1"/>
          <w:iCs w:val="1"/>
          <w:color w:val="auto"/>
        </w:rPr>
        <w:t xml:space="preserve">We own various U.S. federal trademark applications and unregistered trademarks, including our company name. All other trademarks or trade names referred to in this Quarterly Report on Form 10-Q are the property of their respective owners. Solely for convenience, the trademarks and trade names in this report are referred to without the symbols </w:t>
      </w:r>
      <w:r>
        <w:rPr>
          <w:rFonts w:ascii="Arial" w:cs="Arial" w:eastAsia="Arial" w:hAnsi="Arial"/>
          <w:sz w:val="26"/>
          <w:szCs w:val="26"/>
          <w:i w:val="1"/>
          <w:iCs w:val="1"/>
          <w:color w:val="auto"/>
          <w:vertAlign w:val="superscript"/>
        </w:rPr>
        <w:t>®</w:t>
      </w:r>
      <w:r>
        <w:rPr>
          <w:rFonts w:ascii="Arial" w:cs="Arial" w:eastAsia="Arial" w:hAnsi="Arial"/>
          <w:sz w:val="18"/>
          <w:szCs w:val="18"/>
          <w:i w:val="1"/>
          <w:iCs w:val="1"/>
          <w:color w:val="auto"/>
        </w:rPr>
        <w:t xml:space="preserve"> and </w:t>
      </w:r>
      <w:r>
        <w:rPr>
          <w:rFonts w:ascii="Arial" w:cs="Arial" w:eastAsia="Arial" w:hAnsi="Arial"/>
          <w:sz w:val="26"/>
          <w:szCs w:val="26"/>
          <w:i w:val="1"/>
          <w:iCs w:val="1"/>
          <w:color w:val="auto"/>
          <w:vertAlign w:val="superscript"/>
        </w:rPr>
        <w:t>™</w:t>
      </w:r>
      <w:r>
        <w:rPr>
          <w:rFonts w:ascii="Arial" w:cs="Arial" w:eastAsia="Arial" w:hAnsi="Arial"/>
          <w:sz w:val="18"/>
          <w:szCs w:val="18"/>
          <w:i w:val="1"/>
          <w:iCs w:val="1"/>
          <w:color w:val="auto"/>
        </w:rPr>
        <w:t>, but such references should not be construed as an indication that their respective owners will not assert, to the fullest extent under applicable law, their rights thereto.</w:t>
      </w:r>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ind w:right="60" w:firstLine="510"/>
        <w:spacing w:after="0" w:line="272" w:lineRule="auto"/>
        <w:rPr>
          <w:sz w:val="20"/>
          <w:szCs w:val="20"/>
          <w:color w:val="auto"/>
        </w:rPr>
      </w:pPr>
      <w:r>
        <w:rPr>
          <w:rFonts w:ascii="Arial" w:cs="Arial" w:eastAsia="Arial" w:hAnsi="Arial"/>
          <w:sz w:val="17"/>
          <w:szCs w:val="17"/>
          <w:i w:val="1"/>
          <w:iCs w:val="1"/>
          <w:color w:val="auto"/>
        </w:rPr>
        <w:t>This Quarterly Report on Form 10-Q contains forward-looking statements within the meaning of Section 27A of the Securities Act of 1933 and Section 21E of the Securities Exchange Act of 1934 (the “Exchange Act”), including, without limitation, statements regarding our expectations, beliefs, intentions or future strategies that are signified by the words “expect,” “anticipate,” “intend,” “believe,” “may,” “plan,” “seek” or similar language. All forward-looking statements included in this document are based on information available to us on the date hereof, and we assume no obligation to update any such forward-looking statements. Our business and financial performance are subject to substantial risks and uncertainties. Our actual results could differ materially from those discussed in these forward-looking statements. In evaluating our business, you should carefully consider the information set forth in this Quarterly Report under Part II - Item 1A “Risk Factors,” and in our other filings with the SEC.</w:t>
      </w: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right="140" w:firstLine="510"/>
        <w:spacing w:after="0" w:line="270" w:lineRule="auto"/>
        <w:rPr>
          <w:sz w:val="20"/>
          <w:szCs w:val="20"/>
          <w:color w:val="auto"/>
        </w:rPr>
      </w:pPr>
      <w:r>
        <w:rPr>
          <w:rFonts w:ascii="Arial" w:cs="Arial" w:eastAsia="Arial" w:hAnsi="Arial"/>
          <w:sz w:val="17"/>
          <w:szCs w:val="17"/>
          <w:color w:val="231F20"/>
        </w:rPr>
        <w:t xml:space="preserve">We are a </w:t>
      </w:r>
      <w:r>
        <w:rPr>
          <w:rFonts w:ascii="Arial" w:cs="Arial" w:eastAsia="Arial" w:hAnsi="Arial"/>
          <w:sz w:val="17"/>
          <w:szCs w:val="17"/>
          <w:color w:val="000000"/>
        </w:rPr>
        <w:t>dermatology therapeutics company developing medications for skin diseases requiring medical interventions</w:t>
      </w:r>
      <w:r>
        <w:rPr>
          <w:rFonts w:ascii="Arial" w:cs="Arial" w:eastAsia="Arial" w:hAnsi="Arial"/>
          <w:sz w:val="17"/>
          <w:szCs w:val="17"/>
          <w:color w:val="231F20"/>
        </w:rPr>
        <w:t>. Our lead product candidate, VP-102, is a proprietary drug-device combination of our topical solution of cantharidin, a widely recognized, naturally sourced agent to treat topical dermatological conditions, administered through our single-use precision applicator. We are developing VP-102 for the treatment of molluscum contagiosum, or molluscum, a highly contagious and primarily pediatric viral skin disease, and common warts. There are currently no products approved by the U.S. Food and Drug Administration, or FDA, nor is there an established standard of care for either of these diseases, resulting in significant undertreated populations in two of the largest unmet needs in dermatology. In addition to patent protection we are seeking, VP-102 has the potential to be the first FDA-approved product for molluscum and for its active pharmaceutical ingredient, or API, to be characterized as a new chemical entity, or NCE, with the five years of non-patent regulatory exclusivity associated with that designation. We believe VP-102 has the potential to qualify for pediatric exclusivity, which would provide for an additional six months of non-patent exclusivity.</w:t>
      </w:r>
    </w:p>
    <w:p>
      <w:pPr>
        <w:spacing w:after="0" w:line="181" w:lineRule="exact"/>
        <w:rPr>
          <w:sz w:val="20"/>
          <w:szCs w:val="20"/>
          <w:color w:val="auto"/>
        </w:rPr>
      </w:pPr>
    </w:p>
    <w:p>
      <w:pPr>
        <w:ind w:firstLine="510"/>
        <w:spacing w:after="0" w:line="287" w:lineRule="auto"/>
        <w:rPr>
          <w:sz w:val="20"/>
          <w:szCs w:val="20"/>
          <w:color w:val="auto"/>
        </w:rPr>
      </w:pPr>
      <w:r>
        <w:rPr>
          <w:rFonts w:ascii="Arial" w:cs="Arial" w:eastAsia="Arial" w:hAnsi="Arial"/>
          <w:sz w:val="16"/>
          <w:szCs w:val="16"/>
          <w:color w:val="231F20"/>
        </w:rPr>
        <w:t>In January 2019, we reported positive top-line results from our Phase 3 CAMP-1 and CAMP-2 pivotal trials with VP-102 for the treatment of molluscum. Both clinical trials evaluated the safety and efficacy of VP-102 compared to placebo. In each trial, we observed that a clinically and statistically significant proportion of subjects treated with VP-102 achieved complete clearance of all treatable molluscum lesions compared to subjects treated with placebo. VP-102 was well-tolerated in both trials, with no serious adverse events reported in VP-102 treated subjects. CAMP-1 was conducted under a special protocol assessment, or SPA, agreement with the FDA. Based on the results from these trials, we submitted a new drug application, or NDA, to the FDA for VP-102 for the treatment of molluscum in September 2019. In November 2019, we received notice that the FDA accepted the NDA for filing, with a Prescription Drug User Fee Act, or PDUFA, goal date of July 13, 2020. In July 2020, we received a Complete Response Letter, or CRL, from the FDA for our NDA. We resubmitted our NDA for VP-102 for the treatment of molluscum in December 2020. In February 2021, we received notice that the FDA accepted the resubmitted NDA for filing, with a PDUFA goal date of June 23, 2021. In May 2021, we received further notice that the FDA extended the PDUFA goal date by three months to September 23, 2021, to allow the FDA to have additional time to review information submitted by the Company, including our training program and distribution model, in response to comments from the FDA regarding the Company’s human factors study.</w:t>
      </w:r>
    </w:p>
    <w:p>
      <w:pPr>
        <w:spacing w:after="0" w:line="172" w:lineRule="exact"/>
        <w:rPr>
          <w:sz w:val="20"/>
          <w:szCs w:val="20"/>
          <w:color w:val="auto"/>
        </w:rPr>
      </w:pPr>
    </w:p>
    <w:p>
      <w:pPr>
        <w:jc w:val="both"/>
        <w:ind w:right="640" w:firstLine="510"/>
        <w:spacing w:after="0" w:line="263" w:lineRule="auto"/>
        <w:rPr>
          <w:sz w:val="20"/>
          <w:szCs w:val="20"/>
          <w:color w:val="auto"/>
        </w:rPr>
      </w:pPr>
      <w:r>
        <w:rPr>
          <w:rFonts w:ascii="Arial" w:cs="Arial" w:eastAsia="Arial" w:hAnsi="Arial"/>
          <w:sz w:val="18"/>
          <w:szCs w:val="18"/>
          <w:color w:val="231F20"/>
        </w:rPr>
        <w:t>In June 2019, we announced positive topline results from our COVE-1 Phase 2 open label clinical trial of VP-102 for the treatment of verruca vulgaris, or common warts. Based on feedback from the FDA regarding a potential Phase 3 trial protocol, we are currently evaluating conducting an additional Phase 2 clinical trial of VP-102 for the treatment of common warts.</w:t>
      </w:r>
    </w:p>
    <w:p>
      <w:pPr>
        <w:spacing w:after="0" w:line="184" w:lineRule="exact"/>
        <w:rPr>
          <w:sz w:val="20"/>
          <w:szCs w:val="20"/>
          <w:color w:val="auto"/>
        </w:rPr>
      </w:pPr>
    </w:p>
    <w:p>
      <w:pPr>
        <w:ind w:right="300" w:firstLine="510"/>
        <w:spacing w:after="0" w:line="277" w:lineRule="auto"/>
        <w:rPr>
          <w:sz w:val="20"/>
          <w:szCs w:val="20"/>
          <w:color w:val="auto"/>
        </w:rPr>
      </w:pPr>
      <w:r>
        <w:rPr>
          <w:rFonts w:ascii="Arial" w:cs="Arial" w:eastAsia="Arial" w:hAnsi="Arial"/>
          <w:sz w:val="18"/>
          <w:szCs w:val="18"/>
          <w:color w:val="231F20"/>
        </w:rPr>
        <w:t>In addition, we are also developing VP-102 for the treatment of external genital warts. We initiated a Phase 2 clinical trial evaluating the optimal dose regimen, efficacy, safety and tolerability of VP-102 in patients with external genital warts in June</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7" w:name="page18"/>
    <w:bookmarkEnd w:id="17"/>
    <w:p>
      <w:pPr>
        <w:ind w:right="60"/>
        <w:spacing w:after="0" w:line="257" w:lineRule="auto"/>
        <w:rPr>
          <w:sz w:val="20"/>
          <w:szCs w:val="20"/>
          <w:color w:val="auto"/>
        </w:rPr>
      </w:pPr>
      <w:r>
        <w:rPr>
          <w:rFonts w:ascii="Arial" w:cs="Arial" w:eastAsia="Arial" w:hAnsi="Arial"/>
          <w:sz w:val="18"/>
          <w:szCs w:val="18"/>
          <w:color w:val="231F20"/>
        </w:rPr>
        <w:t>2019. In November 2020, we announced positive topline results from our Phase 2 clinical trial of VP-102 for the treatment of external genital warts. Based on the results of the Phase 2 trial, we requested an end of Phase 2 meeting with the FDA in the first quarter of 2021. In addition, we are conducting necessary drug development activities for VP-103, our second cantharidin-based product candidate, and are evaluating when to initiate a Phase 2 clinical trial for the treatment of plantar warts. We also intend to develop our third product candidate, LTX-315, for the treatment of dermatological oncology indications.</w:t>
      </w:r>
    </w:p>
    <w:p>
      <w:pPr>
        <w:spacing w:after="0" w:line="188" w:lineRule="exact"/>
        <w:rPr>
          <w:sz w:val="20"/>
          <w:szCs w:val="20"/>
          <w:color w:val="auto"/>
        </w:rPr>
      </w:pPr>
    </w:p>
    <w:p>
      <w:pPr>
        <w:ind w:right="20" w:firstLine="510"/>
        <w:spacing w:after="0" w:line="291" w:lineRule="auto"/>
        <w:rPr>
          <w:sz w:val="20"/>
          <w:szCs w:val="20"/>
          <w:color w:val="auto"/>
        </w:rPr>
      </w:pPr>
      <w:r>
        <w:rPr>
          <w:rFonts w:ascii="Arial" w:cs="Arial" w:eastAsia="Arial" w:hAnsi="Arial"/>
          <w:sz w:val="16"/>
          <w:szCs w:val="16"/>
          <w:color w:val="212529"/>
        </w:rPr>
        <w:t>On March 17, 2021, we entered into a collaboration and license agreement, or the Torii Agreement, with Torii Pharmaceutical Co., Ltd., or Torii, pursuant to which we granted Torii an exclusive license to develop and commercialize our product candidates that contain a topical formulation of cantharidin for the treatment of molluscum contagiosum and common warts in Japan, including VP-102. Additionally, we granted Torii a right of first negotiation with respect to additional indications for the licensed products and certain additional products for use in the licensed field, in each case in Japan. Pursuant to the Torii Agreement, we received payments from Torii of $0.5 million in December 2020 and $11.5 million in April 2021. Additionally, we are entitled to receive from Torii an additional $58.0 million in aggregate payments contingent on achievement of specified development, regulatory, and sales milestones, in addition to tiered transfer price payments for supply of product in the percentage range of the mid-30s to the mid-40s of net sales.</w:t>
      </w:r>
    </w:p>
    <w:p>
      <w:pPr>
        <w:spacing w:after="0" w:line="166" w:lineRule="exact"/>
        <w:rPr>
          <w:sz w:val="20"/>
          <w:szCs w:val="20"/>
          <w:color w:val="auto"/>
        </w:rPr>
      </w:pPr>
    </w:p>
    <w:p>
      <w:pPr>
        <w:ind w:firstLine="510"/>
        <w:spacing w:after="0" w:line="259" w:lineRule="auto"/>
        <w:rPr>
          <w:sz w:val="20"/>
          <w:szCs w:val="20"/>
          <w:color w:val="auto"/>
        </w:rPr>
      </w:pPr>
      <w:r>
        <w:rPr>
          <w:rFonts w:ascii="Arial" w:cs="Arial" w:eastAsia="Arial" w:hAnsi="Arial"/>
          <w:sz w:val="18"/>
          <w:szCs w:val="18"/>
          <w:color w:val="212529"/>
        </w:rPr>
        <w:t>In August 2020, we entered into an exclusive license agreement with Lytix Biopharma AS, or Lytix, pursuant to which we obtained a worldwide, license for certain technology of Lytix to develop LTX-315 for use in all malignant and pre-malignant dermatological indications, other than metastatic melanoma and metastatic merkel cell carcinoma. We intend to submit an Investigational New Drug Application, or IND, for LTX-315 in the second half of 2021.</w:t>
      </w:r>
    </w:p>
    <w:p>
      <w:pPr>
        <w:spacing w:after="0" w:line="187" w:lineRule="exact"/>
        <w:rPr>
          <w:sz w:val="20"/>
          <w:szCs w:val="20"/>
          <w:color w:val="auto"/>
        </w:rPr>
      </w:pPr>
    </w:p>
    <w:p>
      <w:pPr>
        <w:ind w:right="520" w:firstLine="510"/>
        <w:spacing w:after="0" w:line="259" w:lineRule="auto"/>
        <w:rPr>
          <w:sz w:val="20"/>
          <w:szCs w:val="20"/>
          <w:color w:val="auto"/>
        </w:rPr>
      </w:pPr>
      <w:r>
        <w:rPr>
          <w:rFonts w:ascii="Arial" w:cs="Arial" w:eastAsia="Arial" w:hAnsi="Arial"/>
          <w:sz w:val="18"/>
          <w:szCs w:val="18"/>
          <w:color w:val="212529"/>
        </w:rPr>
        <w:t xml:space="preserve">Our strategy is to advance VP-102 through regulatory approval and self-commercialize in the United States for the treatment of several skin diseases. We intend to build a specialized sales organization in the United States focused on pediatric dermatologists, dermatologists, and select pediatricians. In the future, we also intend to develop VP-102 for commercialization in additional geographic regions, either alone or </w:t>
      </w:r>
      <w:r>
        <w:rPr>
          <w:rFonts w:ascii="Arial" w:cs="Arial" w:eastAsia="Arial" w:hAnsi="Arial"/>
          <w:sz w:val="18"/>
          <w:szCs w:val="18"/>
          <w:color w:val="231F20"/>
        </w:rPr>
        <w:t>together with a</w:t>
      </w:r>
      <w:r>
        <w:rPr>
          <w:rFonts w:ascii="Arial" w:cs="Arial" w:eastAsia="Arial" w:hAnsi="Arial"/>
          <w:sz w:val="18"/>
          <w:szCs w:val="18"/>
          <w:color w:val="212529"/>
        </w:rPr>
        <w:t xml:space="preserve"> </w:t>
      </w:r>
      <w:r>
        <w:rPr>
          <w:rFonts w:ascii="Arial" w:cs="Arial" w:eastAsia="Arial" w:hAnsi="Arial"/>
          <w:sz w:val="18"/>
          <w:szCs w:val="18"/>
          <w:color w:val="231F20"/>
        </w:rPr>
        <w:t>strategic partner.</w:t>
      </w:r>
    </w:p>
    <w:p>
      <w:pPr>
        <w:spacing w:after="0" w:line="187" w:lineRule="exact"/>
        <w:rPr>
          <w:sz w:val="20"/>
          <w:szCs w:val="20"/>
          <w:color w:val="auto"/>
        </w:rPr>
      </w:pPr>
    </w:p>
    <w:p>
      <w:pPr>
        <w:ind w:right="140" w:firstLine="510"/>
        <w:spacing w:after="0" w:line="257" w:lineRule="auto"/>
        <w:rPr>
          <w:sz w:val="20"/>
          <w:szCs w:val="20"/>
          <w:color w:val="auto"/>
        </w:rPr>
      </w:pPr>
      <w:r>
        <w:rPr>
          <w:rFonts w:ascii="Arial" w:cs="Arial" w:eastAsia="Arial" w:hAnsi="Arial"/>
          <w:sz w:val="18"/>
          <w:szCs w:val="18"/>
          <w:color w:val="auto"/>
        </w:rPr>
        <w:t>We have been actively monitoring the novel coronavirus, or COVID-19, pandemic and its impact globally. The full extent to which the COVID-19 pandemic will directly or indirectly impact our business, results of operations and financial condition will depend on future developments that are highly uncertain, including as a result of new information that may emerge concerning COVID-19 and the actions taken to contain it or treat COVID-19. As a direct result of COVID-19, we decided to delay the initiation of our previously planned Phase 2 clinical trial to evaluate VP-103 in subjects with plantar warts.</w:t>
      </w:r>
    </w:p>
    <w:p>
      <w:pPr>
        <w:spacing w:after="0" w:line="188" w:lineRule="exact"/>
        <w:rPr>
          <w:sz w:val="20"/>
          <w:szCs w:val="20"/>
          <w:color w:val="auto"/>
        </w:rPr>
      </w:pPr>
    </w:p>
    <w:p>
      <w:pPr>
        <w:ind w:right="20" w:firstLine="510"/>
        <w:spacing w:after="0" w:line="259" w:lineRule="auto"/>
        <w:rPr>
          <w:sz w:val="20"/>
          <w:szCs w:val="20"/>
          <w:color w:val="auto"/>
        </w:rPr>
      </w:pPr>
      <w:r>
        <w:rPr>
          <w:rFonts w:ascii="Arial" w:cs="Arial" w:eastAsia="Arial" w:hAnsi="Arial"/>
          <w:sz w:val="18"/>
          <w:szCs w:val="18"/>
          <w:color w:val="212529"/>
        </w:rPr>
        <w:t>Since our inception in 2013, our operations have focused on developing VP-102, organizing and staffing our company, business planning, raising capital, establishing our intellectual property portfolio and conducting clinical trials. We do not have any product candidates approved for sale and have not generated any revenue from product sales. We have funded our operations primarily through the sale of equity and equity-linked securities and through borrowing under our loan agreement with Silicon Valley Bank.</w:t>
      </w:r>
    </w:p>
    <w:p>
      <w:pPr>
        <w:spacing w:after="0" w:line="187" w:lineRule="exact"/>
        <w:rPr>
          <w:sz w:val="20"/>
          <w:szCs w:val="20"/>
          <w:color w:val="auto"/>
        </w:rPr>
      </w:pPr>
    </w:p>
    <w:p>
      <w:pPr>
        <w:ind w:right="120" w:firstLine="510"/>
        <w:spacing w:after="0" w:line="259" w:lineRule="auto"/>
        <w:rPr>
          <w:sz w:val="20"/>
          <w:szCs w:val="20"/>
          <w:color w:val="auto"/>
        </w:rPr>
      </w:pPr>
      <w:r>
        <w:rPr>
          <w:rFonts w:ascii="Arial" w:cs="Arial" w:eastAsia="Arial" w:hAnsi="Arial"/>
          <w:sz w:val="18"/>
          <w:szCs w:val="18"/>
          <w:color w:val="212529"/>
        </w:rPr>
        <w:t>On March 25, 2021, we closed a follow-on public offering in which we sold 2,033,899 shares of common stock at a public offering price of $14.75 per share, resulting in net proceeds of $28.1 million after deducting underwriting discounts and commissions and offering expenses. We believe that our existing cash, cash equivalents and marketable securities as of June 30, 2021 will be sufficient to support our planned operations at least into the first quarter of 2023.</w:t>
      </w:r>
    </w:p>
    <w:p>
      <w:pPr>
        <w:spacing w:after="0" w:line="187" w:lineRule="exact"/>
        <w:rPr>
          <w:sz w:val="20"/>
          <w:szCs w:val="20"/>
          <w:color w:val="auto"/>
        </w:rPr>
      </w:pPr>
    </w:p>
    <w:p>
      <w:pPr>
        <w:jc w:val="both"/>
        <w:ind w:right="20" w:firstLine="510"/>
        <w:spacing w:after="0" w:line="311" w:lineRule="auto"/>
        <w:rPr>
          <w:sz w:val="20"/>
          <w:szCs w:val="20"/>
          <w:color w:val="auto"/>
        </w:rPr>
      </w:pPr>
      <w:r>
        <w:rPr>
          <w:rFonts w:ascii="Arial" w:cs="Arial" w:eastAsia="Arial" w:hAnsi="Arial"/>
          <w:sz w:val="16"/>
          <w:szCs w:val="16"/>
          <w:color w:val="auto"/>
        </w:rPr>
        <w:t>Since inception, we have incurred significant operating losses. For the six months ended June 30, 2021 and 2020, our net loss was $12.7 million and $19.2 million, respectively. As of June 30, 2021, we had an accumulated deficit of $116.6 million. We expect to continue to incur significant expenses and operating losses for the foreseeable future. We anticipate that our expenses will increase significantly in connection with our ongoing activities, as we:</w:t>
      </w:r>
    </w:p>
    <w:p>
      <w:pPr>
        <w:spacing w:after="0" w:line="257" w:lineRule="exact"/>
        <w:rPr>
          <w:sz w:val="20"/>
          <w:szCs w:val="20"/>
          <w:color w:val="auto"/>
        </w:rPr>
      </w:pPr>
    </w:p>
    <w:p>
      <w:pPr>
        <w:ind w:left="1160" w:right="200" w:hanging="572"/>
        <w:spacing w:after="0" w:line="277" w:lineRule="auto"/>
        <w:tabs>
          <w:tab w:leader="none" w:pos="1160" w:val="left"/>
        </w:tabs>
        <w:numPr>
          <w:ilvl w:val="0"/>
          <w:numId w:val="5"/>
        </w:numPr>
        <w:rPr>
          <w:rFonts w:ascii="Arial" w:cs="Arial" w:eastAsia="Arial" w:hAnsi="Arial"/>
          <w:sz w:val="18"/>
          <w:szCs w:val="18"/>
          <w:color w:val="212529"/>
        </w:rPr>
      </w:pPr>
      <w:r>
        <w:rPr>
          <w:rFonts w:ascii="Arial" w:cs="Arial" w:eastAsia="Arial" w:hAnsi="Arial"/>
          <w:sz w:val="18"/>
          <w:szCs w:val="18"/>
          <w:color w:val="212529"/>
        </w:rPr>
        <w:t>continue our ongoing clinical programs evaluating VP-102 for the treatment of common warts as well as initiate and complete additional clinical trials, as needed;</w:t>
      </w:r>
    </w:p>
    <w:p>
      <w:pPr>
        <w:spacing w:after="0" w:line="62" w:lineRule="exact"/>
        <w:rPr>
          <w:rFonts w:ascii="Arial" w:cs="Arial" w:eastAsia="Arial" w:hAnsi="Arial"/>
          <w:sz w:val="18"/>
          <w:szCs w:val="18"/>
          <w:color w:val="212529"/>
        </w:rPr>
      </w:pPr>
    </w:p>
    <w:p>
      <w:pPr>
        <w:ind w:left="1160" w:hanging="572"/>
        <w:spacing w:after="0"/>
        <w:tabs>
          <w:tab w:leader="none" w:pos="1160" w:val="left"/>
        </w:tabs>
        <w:numPr>
          <w:ilvl w:val="0"/>
          <w:numId w:val="5"/>
        </w:numPr>
        <w:rPr>
          <w:rFonts w:ascii="Arial" w:cs="Arial" w:eastAsia="Arial" w:hAnsi="Arial"/>
          <w:sz w:val="18"/>
          <w:szCs w:val="18"/>
          <w:color w:val="212529"/>
        </w:rPr>
      </w:pPr>
      <w:r>
        <w:rPr>
          <w:rFonts w:ascii="Arial" w:cs="Arial" w:eastAsia="Arial" w:hAnsi="Arial"/>
          <w:sz w:val="18"/>
          <w:szCs w:val="18"/>
          <w:color w:val="212529"/>
        </w:rPr>
        <w:t>initiate clinical trials evaluating VP-102 for the treatment of external genital warts;</w:t>
      </w:r>
    </w:p>
    <w:p>
      <w:pPr>
        <w:spacing w:after="0" w:line="360" w:lineRule="exact"/>
        <w:rPr>
          <w:rFonts w:ascii="Arial" w:cs="Arial" w:eastAsia="Arial" w:hAnsi="Arial"/>
          <w:sz w:val="18"/>
          <w:szCs w:val="18"/>
          <w:color w:val="212529"/>
        </w:rPr>
      </w:pPr>
    </w:p>
    <w:p>
      <w:pPr>
        <w:ind w:left="1160" w:right="420" w:hanging="572"/>
        <w:spacing w:after="0" w:line="277" w:lineRule="auto"/>
        <w:tabs>
          <w:tab w:leader="none" w:pos="1160" w:val="left"/>
        </w:tabs>
        <w:numPr>
          <w:ilvl w:val="0"/>
          <w:numId w:val="5"/>
        </w:numPr>
        <w:rPr>
          <w:rFonts w:ascii="Arial" w:cs="Arial" w:eastAsia="Arial" w:hAnsi="Arial"/>
          <w:sz w:val="18"/>
          <w:szCs w:val="18"/>
          <w:color w:val="212529"/>
        </w:rPr>
      </w:pPr>
      <w:r>
        <w:rPr>
          <w:rFonts w:ascii="Arial" w:cs="Arial" w:eastAsia="Arial" w:hAnsi="Arial"/>
          <w:sz w:val="18"/>
          <w:szCs w:val="18"/>
          <w:color w:val="212529"/>
        </w:rPr>
        <w:t xml:space="preserve">initiate clinical trials evaluating VP-103 for the treatment of plantar warts, and LTX-315 for the treatment of </w:t>
      </w:r>
      <w:r>
        <w:rPr>
          <w:rFonts w:ascii="Arial" w:cs="Arial" w:eastAsia="Arial" w:hAnsi="Arial"/>
          <w:sz w:val="18"/>
          <w:szCs w:val="18"/>
          <w:color w:val="231F20"/>
        </w:rPr>
        <w:t>dermatological oncology</w:t>
      </w:r>
      <w:r>
        <w:rPr>
          <w:rFonts w:ascii="Arial" w:cs="Arial" w:eastAsia="Arial" w:hAnsi="Arial"/>
          <w:sz w:val="18"/>
          <w:szCs w:val="18"/>
          <w:color w:val="212529"/>
        </w:rPr>
        <w:t xml:space="preserve"> </w:t>
      </w:r>
      <w:r>
        <w:rPr>
          <w:rFonts w:ascii="Arial" w:cs="Arial" w:eastAsia="Arial" w:hAnsi="Arial"/>
          <w:sz w:val="18"/>
          <w:szCs w:val="18"/>
          <w:color w:val="231F20"/>
        </w:rPr>
        <w:t>indications</w:t>
      </w:r>
      <w:r>
        <w:rPr>
          <w:rFonts w:ascii="Arial" w:cs="Arial" w:eastAsia="Arial" w:hAnsi="Arial"/>
          <w:sz w:val="18"/>
          <w:szCs w:val="18"/>
          <w:color w:val="212529"/>
        </w:rPr>
        <w:t>;</w:t>
      </w:r>
    </w:p>
    <w:p>
      <w:pPr>
        <w:spacing w:after="0" w:line="62" w:lineRule="exact"/>
        <w:rPr>
          <w:rFonts w:ascii="Arial" w:cs="Arial" w:eastAsia="Arial" w:hAnsi="Arial"/>
          <w:sz w:val="18"/>
          <w:szCs w:val="18"/>
          <w:color w:val="212529"/>
        </w:rPr>
      </w:pPr>
    </w:p>
    <w:p>
      <w:pPr>
        <w:ind w:left="1160" w:hanging="572"/>
        <w:spacing w:after="0" w:line="277" w:lineRule="auto"/>
        <w:tabs>
          <w:tab w:leader="none" w:pos="1160" w:val="left"/>
        </w:tabs>
        <w:numPr>
          <w:ilvl w:val="0"/>
          <w:numId w:val="5"/>
        </w:numPr>
        <w:rPr>
          <w:rFonts w:ascii="Arial" w:cs="Arial" w:eastAsia="Arial" w:hAnsi="Arial"/>
          <w:sz w:val="18"/>
          <w:szCs w:val="18"/>
          <w:color w:val="212529"/>
        </w:rPr>
      </w:pPr>
      <w:r>
        <w:rPr>
          <w:rFonts w:ascii="Arial" w:cs="Arial" w:eastAsia="Arial" w:hAnsi="Arial"/>
          <w:sz w:val="18"/>
          <w:szCs w:val="18"/>
          <w:color w:val="212529"/>
        </w:rPr>
        <w:t>pursue regulatory approvals for VP-102 for the treatment of molluscum, and eventually for the treatment of common warts, external genital warts or any other indications we may pursue for VP-102, as well as for VP-103 or LTX-315;</w:t>
      </w:r>
    </w:p>
    <w:p>
      <w:pPr>
        <w:spacing w:after="0" w:line="62" w:lineRule="exact"/>
        <w:rPr>
          <w:rFonts w:ascii="Arial" w:cs="Arial" w:eastAsia="Arial" w:hAnsi="Arial"/>
          <w:sz w:val="18"/>
          <w:szCs w:val="18"/>
          <w:color w:val="212529"/>
        </w:rPr>
      </w:pPr>
    </w:p>
    <w:p>
      <w:pPr>
        <w:ind w:left="1160" w:hanging="572"/>
        <w:spacing w:after="0"/>
        <w:tabs>
          <w:tab w:leader="none" w:pos="1160" w:val="left"/>
        </w:tabs>
        <w:numPr>
          <w:ilvl w:val="0"/>
          <w:numId w:val="5"/>
        </w:numPr>
        <w:rPr>
          <w:rFonts w:ascii="Arial" w:cs="Arial" w:eastAsia="Arial" w:hAnsi="Arial"/>
          <w:sz w:val="18"/>
          <w:szCs w:val="18"/>
          <w:color w:val="212529"/>
        </w:rPr>
      </w:pPr>
      <w:r>
        <w:rPr>
          <w:rFonts w:ascii="Arial" w:cs="Arial" w:eastAsia="Arial" w:hAnsi="Arial"/>
          <w:sz w:val="18"/>
          <w:szCs w:val="18"/>
          <w:color w:val="212529"/>
        </w:rPr>
        <w:t>seek to discover and develop additional product candidates;</w:t>
      </w:r>
    </w:p>
    <w:p>
      <w:pPr>
        <w:spacing w:after="0" w:line="333" w:lineRule="exact"/>
        <w:rPr>
          <w:rFonts w:ascii="Arial" w:cs="Arial" w:eastAsia="Arial" w:hAnsi="Arial"/>
          <w:sz w:val="18"/>
          <w:szCs w:val="18"/>
          <w:color w:val="212529"/>
        </w:rPr>
      </w:pPr>
    </w:p>
    <w:p>
      <w:pPr>
        <w:ind w:left="1160" w:right="20" w:hanging="572"/>
        <w:spacing w:after="0" w:line="277" w:lineRule="auto"/>
        <w:tabs>
          <w:tab w:leader="none" w:pos="1160" w:val="left"/>
        </w:tabs>
        <w:numPr>
          <w:ilvl w:val="0"/>
          <w:numId w:val="5"/>
        </w:numPr>
        <w:rPr>
          <w:rFonts w:ascii="Arial" w:cs="Arial" w:eastAsia="Arial" w:hAnsi="Arial"/>
          <w:sz w:val="18"/>
          <w:szCs w:val="18"/>
          <w:color w:val="212529"/>
        </w:rPr>
      </w:pPr>
      <w:r>
        <w:rPr>
          <w:rFonts w:ascii="Arial" w:cs="Arial" w:eastAsia="Arial" w:hAnsi="Arial"/>
          <w:sz w:val="18"/>
          <w:szCs w:val="18"/>
          <w:color w:val="212529"/>
        </w:rPr>
        <w:t>establish a commercialization infrastructure and scale up external manufacturing and distribution capabilities to commercialize any product candidates for which we may obtain regulatory approval, including VP-102, VP-103 and LTX-315;</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57" w:right="359" w:bottom="1440" w:gutter="0" w:footer="0" w:header="0"/>
        </w:sectPr>
      </w:pPr>
    </w:p>
    <w:bookmarkStart w:id="18" w:name="page19"/>
    <w:bookmarkEnd w:id="18"/>
    <w:p>
      <w:pPr>
        <w:ind w:left="1160" w:hanging="572"/>
        <w:spacing w:after="0"/>
        <w:tabs>
          <w:tab w:leader="none" w:pos="1160" w:val="left"/>
        </w:tabs>
        <w:numPr>
          <w:ilvl w:val="0"/>
          <w:numId w:val="6"/>
        </w:numPr>
        <w:rPr>
          <w:rFonts w:ascii="Arial" w:cs="Arial" w:eastAsia="Arial" w:hAnsi="Arial"/>
          <w:sz w:val="18"/>
          <w:szCs w:val="18"/>
          <w:color w:val="212529"/>
        </w:rPr>
      </w:pPr>
      <w:r>
        <w:rPr>
          <w:rFonts w:ascii="Arial" w:cs="Arial" w:eastAsia="Arial" w:hAnsi="Arial"/>
          <w:sz w:val="18"/>
          <w:szCs w:val="18"/>
          <w:color w:val="212529"/>
        </w:rPr>
        <w:t>seek to in-license or acquire additional product candidates for other dermatological conditions;</w:t>
      </w:r>
    </w:p>
    <w:p>
      <w:pPr>
        <w:spacing w:after="0" w:line="117" w:lineRule="exact"/>
        <w:rPr>
          <w:rFonts w:ascii="Arial" w:cs="Arial" w:eastAsia="Arial" w:hAnsi="Arial"/>
          <w:sz w:val="18"/>
          <w:szCs w:val="18"/>
          <w:color w:val="212529"/>
        </w:rPr>
      </w:pPr>
    </w:p>
    <w:p>
      <w:pPr>
        <w:ind w:left="1160" w:hanging="572"/>
        <w:spacing w:after="0"/>
        <w:tabs>
          <w:tab w:leader="none" w:pos="1160" w:val="left"/>
        </w:tabs>
        <w:numPr>
          <w:ilvl w:val="0"/>
          <w:numId w:val="6"/>
        </w:numPr>
        <w:rPr>
          <w:rFonts w:ascii="Arial" w:cs="Arial" w:eastAsia="Arial" w:hAnsi="Arial"/>
          <w:sz w:val="18"/>
          <w:szCs w:val="18"/>
          <w:color w:val="212529"/>
        </w:rPr>
      </w:pPr>
      <w:r>
        <w:rPr>
          <w:rFonts w:ascii="Arial" w:cs="Arial" w:eastAsia="Arial" w:hAnsi="Arial"/>
          <w:sz w:val="18"/>
          <w:szCs w:val="18"/>
          <w:color w:val="212529"/>
        </w:rPr>
        <w:t>adapt our regulatory compliance efforts to incorporate requirements applicable to marketed products;</w:t>
      </w:r>
    </w:p>
    <w:p>
      <w:pPr>
        <w:spacing w:after="0" w:line="360" w:lineRule="exact"/>
        <w:rPr>
          <w:rFonts w:ascii="Arial" w:cs="Arial" w:eastAsia="Arial" w:hAnsi="Arial"/>
          <w:sz w:val="18"/>
          <w:szCs w:val="18"/>
          <w:color w:val="212529"/>
        </w:rPr>
      </w:pPr>
    </w:p>
    <w:p>
      <w:pPr>
        <w:ind w:left="1160" w:hanging="572"/>
        <w:spacing w:after="0"/>
        <w:tabs>
          <w:tab w:leader="none" w:pos="1160" w:val="left"/>
        </w:tabs>
        <w:numPr>
          <w:ilvl w:val="0"/>
          <w:numId w:val="6"/>
        </w:numPr>
        <w:rPr>
          <w:rFonts w:ascii="Arial" w:cs="Arial" w:eastAsia="Arial" w:hAnsi="Arial"/>
          <w:sz w:val="18"/>
          <w:szCs w:val="18"/>
          <w:color w:val="212529"/>
        </w:rPr>
      </w:pPr>
      <w:r>
        <w:rPr>
          <w:rFonts w:ascii="Arial" w:cs="Arial" w:eastAsia="Arial" w:hAnsi="Arial"/>
          <w:sz w:val="18"/>
          <w:szCs w:val="18"/>
          <w:color w:val="212529"/>
        </w:rPr>
        <w:t>maintain, expand and protect our intellectual property portfolio;</w:t>
      </w:r>
    </w:p>
    <w:p>
      <w:pPr>
        <w:spacing w:after="0" w:line="117" w:lineRule="exact"/>
        <w:rPr>
          <w:rFonts w:ascii="Arial" w:cs="Arial" w:eastAsia="Arial" w:hAnsi="Arial"/>
          <w:sz w:val="18"/>
          <w:szCs w:val="18"/>
          <w:color w:val="212529"/>
        </w:rPr>
      </w:pPr>
    </w:p>
    <w:p>
      <w:pPr>
        <w:ind w:left="1160" w:hanging="572"/>
        <w:spacing w:after="0"/>
        <w:tabs>
          <w:tab w:leader="none" w:pos="1160" w:val="left"/>
        </w:tabs>
        <w:numPr>
          <w:ilvl w:val="0"/>
          <w:numId w:val="6"/>
        </w:numPr>
        <w:rPr>
          <w:rFonts w:ascii="Arial" w:cs="Arial" w:eastAsia="Arial" w:hAnsi="Arial"/>
          <w:sz w:val="18"/>
          <w:szCs w:val="18"/>
          <w:color w:val="212529"/>
        </w:rPr>
      </w:pPr>
      <w:r>
        <w:rPr>
          <w:rFonts w:ascii="Arial" w:cs="Arial" w:eastAsia="Arial" w:hAnsi="Arial"/>
          <w:sz w:val="18"/>
          <w:szCs w:val="18"/>
          <w:color w:val="212529"/>
        </w:rPr>
        <w:t>hire additional clinical, manufacturing and scientific personnel;</w:t>
      </w:r>
    </w:p>
    <w:p>
      <w:pPr>
        <w:spacing w:after="0" w:line="360" w:lineRule="exact"/>
        <w:rPr>
          <w:rFonts w:ascii="Arial" w:cs="Arial" w:eastAsia="Arial" w:hAnsi="Arial"/>
          <w:sz w:val="18"/>
          <w:szCs w:val="18"/>
          <w:color w:val="212529"/>
        </w:rPr>
      </w:pPr>
    </w:p>
    <w:p>
      <w:pPr>
        <w:ind w:left="1160" w:right="240" w:hanging="572"/>
        <w:spacing w:after="0" w:line="277" w:lineRule="auto"/>
        <w:tabs>
          <w:tab w:leader="none" w:pos="1160" w:val="left"/>
        </w:tabs>
        <w:numPr>
          <w:ilvl w:val="0"/>
          <w:numId w:val="6"/>
        </w:numPr>
        <w:rPr>
          <w:rFonts w:ascii="Arial" w:cs="Arial" w:eastAsia="Arial" w:hAnsi="Arial"/>
          <w:sz w:val="18"/>
          <w:szCs w:val="18"/>
          <w:color w:val="212529"/>
        </w:rPr>
      </w:pPr>
      <w:r>
        <w:rPr>
          <w:rFonts w:ascii="Arial" w:cs="Arial" w:eastAsia="Arial" w:hAnsi="Arial"/>
          <w:sz w:val="18"/>
          <w:szCs w:val="18"/>
          <w:color w:val="212529"/>
        </w:rPr>
        <w:t>add operational, financial and management information systems and personnel, including personnel to support our product development and planned future commercialization efforts; and</w:t>
      </w:r>
    </w:p>
    <w:p>
      <w:pPr>
        <w:spacing w:after="0" w:line="62" w:lineRule="exact"/>
        <w:rPr>
          <w:rFonts w:ascii="Arial" w:cs="Arial" w:eastAsia="Arial" w:hAnsi="Arial"/>
          <w:sz w:val="18"/>
          <w:szCs w:val="18"/>
          <w:color w:val="212529"/>
        </w:rPr>
      </w:pPr>
    </w:p>
    <w:p>
      <w:pPr>
        <w:ind w:left="1160" w:hanging="572"/>
        <w:spacing w:after="0"/>
        <w:tabs>
          <w:tab w:leader="none" w:pos="1160" w:val="left"/>
        </w:tabs>
        <w:numPr>
          <w:ilvl w:val="0"/>
          <w:numId w:val="6"/>
        </w:numPr>
        <w:rPr>
          <w:rFonts w:ascii="Arial" w:cs="Arial" w:eastAsia="Arial" w:hAnsi="Arial"/>
          <w:sz w:val="18"/>
          <w:szCs w:val="18"/>
          <w:color w:val="212529"/>
        </w:rPr>
      </w:pPr>
      <w:r>
        <w:rPr>
          <w:rFonts w:ascii="Arial" w:cs="Arial" w:eastAsia="Arial" w:hAnsi="Arial"/>
          <w:sz w:val="18"/>
          <w:szCs w:val="18"/>
          <w:color w:val="212529"/>
        </w:rPr>
        <w:t>incur additional legal, accounting and other expenses in operating as a public company</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Significant Judgments and Estimates</w:t>
      </w:r>
    </w:p>
    <w:p>
      <w:pPr>
        <w:spacing w:after="0" w:line="121" w:lineRule="exact"/>
        <w:rPr>
          <w:sz w:val="20"/>
          <w:szCs w:val="20"/>
          <w:color w:val="auto"/>
        </w:rPr>
      </w:pPr>
    </w:p>
    <w:p>
      <w:pPr>
        <w:ind w:firstLine="510"/>
        <w:spacing w:after="0" w:line="301" w:lineRule="auto"/>
        <w:rPr>
          <w:sz w:val="20"/>
          <w:szCs w:val="20"/>
          <w:color w:val="auto"/>
        </w:rPr>
      </w:pPr>
      <w:r>
        <w:rPr>
          <w:rFonts w:ascii="Arial" w:cs="Arial" w:eastAsia="Arial" w:hAnsi="Arial"/>
          <w:sz w:val="16"/>
          <w:szCs w:val="16"/>
          <w:color w:val="auto"/>
        </w:rPr>
        <w:t>Our management’s discussion and analysis of our financial condition and results of operations is based on our financial statements, which have been prepared in accordance with U.S. GAAP. The preparation of these financial statements requires us to make estimates, judgments and assumptions that affect the reported amounts of assets and liabilities, disclosure of contingent assets and liabilities as of the dates of the balance sheets and the reported amounts of expenses during the reporting periods. In accordance with GAAP, we evaluate our estimates and judgments on an ongoing basis.</w:t>
      </w:r>
    </w:p>
    <w:p>
      <w:pPr>
        <w:spacing w:after="0" w:line="49" w:lineRule="exact"/>
        <w:rPr>
          <w:sz w:val="20"/>
          <w:szCs w:val="20"/>
          <w:color w:val="auto"/>
        </w:rPr>
      </w:pPr>
    </w:p>
    <w:p>
      <w:pPr>
        <w:jc w:val="both"/>
        <w:ind w:right="200" w:firstLine="510"/>
        <w:spacing w:after="0" w:line="263" w:lineRule="auto"/>
        <w:rPr>
          <w:sz w:val="20"/>
          <w:szCs w:val="20"/>
          <w:color w:val="auto"/>
        </w:rPr>
      </w:pPr>
      <w:r>
        <w:rPr>
          <w:rFonts w:ascii="Arial" w:cs="Arial" w:eastAsia="Arial" w:hAnsi="Arial"/>
          <w:sz w:val="18"/>
          <w:szCs w:val="18"/>
          <w:color w:val="auto"/>
        </w:rPr>
        <w:t>A summary of our significant accounting policies are disclosed in our Annual Report on Form 10-K for the fiscal year ended December 31, 2020. However, we believe that the additional accounting policies disclosed in Note 2 to our condensed financial statement are important to understanding and evaluating our reported financial results.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Components of Results of Operations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License Revenue</w:t>
      </w:r>
    </w:p>
    <w:p>
      <w:pPr>
        <w:spacing w:after="0" w:line="117" w:lineRule="exact"/>
        <w:rPr>
          <w:sz w:val="20"/>
          <w:szCs w:val="20"/>
          <w:color w:val="auto"/>
        </w:rPr>
      </w:pPr>
    </w:p>
    <w:p>
      <w:pPr>
        <w:ind w:right="20" w:firstLine="510"/>
        <w:spacing w:after="0" w:line="263" w:lineRule="auto"/>
        <w:rPr>
          <w:sz w:val="20"/>
          <w:szCs w:val="20"/>
          <w:color w:val="auto"/>
        </w:rPr>
      </w:pPr>
      <w:r>
        <w:rPr>
          <w:rFonts w:ascii="Arial" w:cs="Arial" w:eastAsia="Arial" w:hAnsi="Arial"/>
          <w:sz w:val="18"/>
          <w:szCs w:val="18"/>
          <w:color w:val="auto"/>
        </w:rPr>
        <w:t>We have not received any revenue from product sales since our inception. License revenue represents revenue from the Torii Agreement pursuant to which the Company granted Torii an exclusive license to develop and commercialize our product candidates that contain a topical formulation of cantharidin for the treatment of molluscum contagiosum and common warts in Japan including VP-102.</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117"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Research and Development Expenses</w:t>
      </w:r>
    </w:p>
    <w:p>
      <w:pPr>
        <w:spacing w:after="0" w:line="117" w:lineRule="exact"/>
        <w:rPr>
          <w:sz w:val="20"/>
          <w:szCs w:val="20"/>
          <w:color w:val="auto"/>
        </w:rPr>
      </w:pPr>
    </w:p>
    <w:p>
      <w:pPr>
        <w:ind w:right="100" w:firstLine="510"/>
        <w:spacing w:after="0" w:line="277" w:lineRule="auto"/>
        <w:rPr>
          <w:sz w:val="20"/>
          <w:szCs w:val="20"/>
          <w:color w:val="auto"/>
        </w:rPr>
      </w:pPr>
      <w:r>
        <w:rPr>
          <w:rFonts w:ascii="Arial" w:cs="Arial" w:eastAsia="Arial" w:hAnsi="Arial"/>
          <w:sz w:val="18"/>
          <w:szCs w:val="18"/>
          <w:color w:val="auto"/>
        </w:rPr>
        <w:t>Research and development expenses consist of expenses incurred in connection with the discovery and development of our product candidates. We expense research and development costs as incurred. These expenses include:</w:t>
      </w:r>
    </w:p>
    <w:p>
      <w:pPr>
        <w:spacing w:after="0" w:line="62" w:lineRule="exact"/>
        <w:rPr>
          <w:sz w:val="20"/>
          <w:szCs w:val="20"/>
          <w:color w:val="auto"/>
        </w:rPr>
      </w:pPr>
    </w:p>
    <w:p>
      <w:pPr>
        <w:ind w:left="1000" w:hanging="493"/>
        <w:spacing w:after="0" w:line="277" w:lineRule="auto"/>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expenses incurred under agreements with contract research organizations, or CROs, as well as investigative sites and consultants that conduct our clinical trials and preclinical studies;</w:t>
      </w:r>
    </w:p>
    <w:p>
      <w:pPr>
        <w:spacing w:after="0" w:line="62" w:lineRule="exact"/>
        <w:rPr>
          <w:rFonts w:ascii="Arial" w:cs="Arial" w:eastAsia="Arial" w:hAnsi="Arial"/>
          <w:sz w:val="18"/>
          <w:szCs w:val="18"/>
          <w:color w:val="auto"/>
        </w:rPr>
      </w:pPr>
    </w:p>
    <w:p>
      <w:pPr>
        <w:ind w:left="1000" w:right="20" w:hanging="493"/>
        <w:spacing w:after="0" w:line="277" w:lineRule="auto"/>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manufacturing and supply scale-up expenses and the cost of acquiring and manufacturing preclinical and clinical trial supply and commercial supply, including manufacturing validation batches;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outsourced professional scientific development services;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employee-related expenses, which include salaries, benefits and stock-based compensation;</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expenses relating to regulatory activities; and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laboratory materials and supplies used to support our research activities.</w:t>
      </w:r>
    </w:p>
    <w:p>
      <w:pPr>
        <w:spacing w:after="0" w:line="225" w:lineRule="exact"/>
        <w:rPr>
          <w:sz w:val="20"/>
          <w:szCs w:val="20"/>
          <w:color w:val="auto"/>
        </w:rPr>
      </w:pPr>
    </w:p>
    <w:p>
      <w:pPr>
        <w:ind w:right="140" w:firstLine="510"/>
        <w:spacing w:after="0" w:line="255" w:lineRule="auto"/>
        <w:rPr>
          <w:sz w:val="20"/>
          <w:szCs w:val="20"/>
          <w:color w:val="auto"/>
        </w:rPr>
      </w:pPr>
      <w:r>
        <w:rPr>
          <w:rFonts w:ascii="Arial" w:cs="Arial" w:eastAsia="Arial" w:hAnsi="Arial"/>
          <w:sz w:val="18"/>
          <w:szCs w:val="18"/>
          <w:color w:val="212529"/>
        </w:rPr>
        <w:t xml:space="preserve">Research and development activities are central to our business model. Product candidates in later stages of clinical development generally have higher development costs than those in earlier stages of clinical development, primarily due to the increased size and duration of later-stage clinical trials. We expect our research and development expenses to increase over the next several years as we increase personnel costs, including stock-based compensation, initiate and conduct clinical trials of VP-102 in patients with common warts, </w:t>
      </w:r>
      <w:r>
        <w:rPr>
          <w:rFonts w:ascii="Arial" w:cs="Arial" w:eastAsia="Arial" w:hAnsi="Arial"/>
          <w:sz w:val="18"/>
          <w:szCs w:val="18"/>
          <w:color w:val="231F20"/>
        </w:rPr>
        <w:t>VP-102 in patients with external genital warts, VP-103 in</w:t>
      </w:r>
      <w:r>
        <w:rPr>
          <w:rFonts w:ascii="Arial" w:cs="Arial" w:eastAsia="Arial" w:hAnsi="Arial"/>
          <w:sz w:val="18"/>
          <w:szCs w:val="18"/>
          <w:color w:val="212529"/>
        </w:rPr>
        <w:t xml:space="preserve"> </w:t>
      </w:r>
      <w:r>
        <w:rPr>
          <w:rFonts w:ascii="Arial" w:cs="Arial" w:eastAsia="Arial" w:hAnsi="Arial"/>
          <w:sz w:val="18"/>
          <w:szCs w:val="18"/>
          <w:color w:val="231F20"/>
        </w:rPr>
        <w:t xml:space="preserve">patients with plantar warts, LTX-315 for dermatological oncology indications, </w:t>
      </w:r>
      <w:r>
        <w:rPr>
          <w:rFonts w:ascii="Arial" w:cs="Arial" w:eastAsia="Arial" w:hAnsi="Arial"/>
          <w:sz w:val="18"/>
          <w:szCs w:val="18"/>
          <w:color w:val="212529"/>
        </w:rPr>
        <w:t>and conduct other clinical trials and prepare regulatory filings for our</w:t>
      </w:r>
      <w:r>
        <w:rPr>
          <w:rFonts w:ascii="Arial" w:cs="Arial" w:eastAsia="Arial" w:hAnsi="Arial"/>
          <w:sz w:val="18"/>
          <w:szCs w:val="18"/>
          <w:color w:val="231F20"/>
        </w:rPr>
        <w:t xml:space="preserve"> </w:t>
      </w:r>
      <w:r>
        <w:rPr>
          <w:rFonts w:ascii="Arial" w:cs="Arial" w:eastAsia="Arial" w:hAnsi="Arial"/>
          <w:sz w:val="18"/>
          <w:szCs w:val="18"/>
          <w:color w:val="212529"/>
        </w:rPr>
        <w:t>product candidates.</w:t>
      </w:r>
    </w:p>
    <w:p>
      <w:pPr>
        <w:spacing w:after="0" w:line="192" w:lineRule="exact"/>
        <w:rPr>
          <w:sz w:val="20"/>
          <w:szCs w:val="20"/>
          <w:color w:val="auto"/>
        </w:rPr>
      </w:pPr>
    </w:p>
    <w:p>
      <w:pPr>
        <w:jc w:val="both"/>
        <w:ind w:right="100" w:firstLine="510"/>
        <w:spacing w:after="0" w:line="259" w:lineRule="auto"/>
        <w:rPr>
          <w:sz w:val="20"/>
          <w:szCs w:val="20"/>
          <w:color w:val="auto"/>
        </w:rPr>
      </w:pPr>
      <w:r>
        <w:rPr>
          <w:rFonts w:ascii="Arial" w:cs="Arial" w:eastAsia="Arial" w:hAnsi="Arial"/>
          <w:sz w:val="18"/>
          <w:szCs w:val="18"/>
          <w:color w:val="auto"/>
        </w:rPr>
        <w:t>The successful development of our product candidates is highly uncertain. At this time, we cannot reasonably estimate or know the nature, timing and costs of the efforts that will be necessary to complete the remainder of the development of, or when, if ever, material net cash inflows may commence from our product candidates. This uncertainty is due to the numerous risks and uncertainties associated with the duration and cost of clinical trials, which vary significantly over the life of a project as a result of many factors, including:</w:t>
      </w:r>
    </w:p>
    <w:p>
      <w:pPr>
        <w:spacing w:after="0" w:line="1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908" w:right="379" w:bottom="1440" w:gutter="0" w:footer="0" w:header="0"/>
        </w:sectPr>
      </w:pPr>
    </w:p>
    <w:bookmarkStart w:id="19" w:name="page20"/>
    <w:bookmarkEnd w:id="19"/>
    <w:p>
      <w:pPr>
        <w:ind w:left="1000" w:hanging="493"/>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number of clinical sites included in the trials;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length of time required to enroll suitable patients;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number of patients that ultimately participate in the trials;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number of doses patients receive;</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duration of patient follow-up; and</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results of our clinical trials.</w:t>
      </w:r>
    </w:p>
    <w:p>
      <w:pPr>
        <w:spacing w:after="0" w:line="225" w:lineRule="exact"/>
        <w:rPr>
          <w:sz w:val="20"/>
          <w:szCs w:val="20"/>
          <w:color w:val="auto"/>
        </w:rPr>
      </w:pPr>
    </w:p>
    <w:p>
      <w:pPr>
        <w:ind w:firstLine="510"/>
        <w:spacing w:after="0" w:line="254" w:lineRule="auto"/>
        <w:rPr>
          <w:sz w:val="20"/>
          <w:szCs w:val="20"/>
          <w:color w:val="auto"/>
        </w:rPr>
      </w:pPr>
      <w:r>
        <w:rPr>
          <w:rFonts w:ascii="Arial" w:cs="Arial" w:eastAsia="Arial" w:hAnsi="Arial"/>
          <w:sz w:val="18"/>
          <w:szCs w:val="18"/>
          <w:color w:val="auto"/>
        </w:rPr>
        <w:t xml:space="preserve">Our </w:t>
      </w:r>
      <w:r>
        <w:rPr>
          <w:rFonts w:ascii="Arial" w:cs="Arial" w:eastAsia="Arial" w:hAnsi="Arial"/>
          <w:sz w:val="18"/>
          <w:szCs w:val="18"/>
          <w:color w:val="212529"/>
        </w:rPr>
        <w:t>expenditures are subject to additional uncertainties, including the manufacturing process for our product candidates, the terms and timing of</w:t>
      </w:r>
      <w:r>
        <w:rPr>
          <w:rFonts w:ascii="Arial" w:cs="Arial" w:eastAsia="Arial" w:hAnsi="Arial"/>
          <w:sz w:val="18"/>
          <w:szCs w:val="18"/>
          <w:color w:val="auto"/>
        </w:rPr>
        <w:t xml:space="preserve"> </w:t>
      </w:r>
      <w:r>
        <w:rPr>
          <w:rFonts w:ascii="Arial" w:cs="Arial" w:eastAsia="Arial" w:hAnsi="Arial"/>
          <w:sz w:val="18"/>
          <w:szCs w:val="18"/>
          <w:color w:val="212529"/>
        </w:rPr>
        <w:t>regulatory approvals, and the expense of filing, prosecuting, defending and enforcing any patent claims or other intellectual property rights. We may never succeed in achieving regulatory approval for our product candidates. We may obtain unexpected results from our clinical trials. We may elect to discontinue, delay or modify clinical trials of our product candidates. A change in the outcome of any of these variables with respect to the development of a product candidate could mean a significant change in the costs and timing associated with the development of that product candidate. For example, if the FDA or other regulatory authorities were to require us to conduct clinical trials beyond those that we currently anticipate, or if we experience significant delays in enrollment in any of our clinical trials, we could be required to expend significant additional financial resources and time on the completion of clinical development</w:t>
      </w:r>
      <w:r>
        <w:rPr>
          <w:rFonts w:ascii="Arial" w:cs="Arial" w:eastAsia="Arial" w:hAnsi="Arial"/>
          <w:sz w:val="18"/>
          <w:szCs w:val="18"/>
          <w:color w:val="000000"/>
        </w:rPr>
        <w:t>.</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General and Administrative Expenses</w:t>
      </w:r>
    </w:p>
    <w:p>
      <w:pPr>
        <w:spacing w:after="0" w:line="117" w:lineRule="exact"/>
        <w:rPr>
          <w:sz w:val="20"/>
          <w:szCs w:val="20"/>
          <w:color w:val="auto"/>
        </w:rPr>
      </w:pPr>
    </w:p>
    <w:p>
      <w:pPr>
        <w:ind w:right="240" w:firstLine="510"/>
        <w:spacing w:after="0" w:line="263" w:lineRule="auto"/>
        <w:rPr>
          <w:sz w:val="20"/>
          <w:szCs w:val="20"/>
          <w:color w:val="auto"/>
        </w:rPr>
      </w:pPr>
      <w:r>
        <w:rPr>
          <w:rFonts w:ascii="Arial" w:cs="Arial" w:eastAsia="Arial" w:hAnsi="Arial"/>
          <w:sz w:val="18"/>
          <w:szCs w:val="18"/>
          <w:color w:val="auto"/>
        </w:rPr>
        <w:t>General and administrative expenses consist principally of salaries and related costs for personnel in executive and administrative functions, including stock-based compensation, travel expenses and recruiting expenses. Other general and administrative expenses include market research costs, insurance costs, and professional fees for audit, tax and legal services.</w:t>
      </w:r>
    </w:p>
    <w:p>
      <w:pPr>
        <w:spacing w:after="0" w:line="76" w:lineRule="exact"/>
        <w:rPr>
          <w:sz w:val="20"/>
          <w:szCs w:val="20"/>
          <w:color w:val="auto"/>
        </w:rPr>
      </w:pPr>
    </w:p>
    <w:p>
      <w:pPr>
        <w:ind w:right="200" w:firstLine="510"/>
        <w:spacing w:after="0" w:line="301" w:lineRule="auto"/>
        <w:rPr>
          <w:sz w:val="20"/>
          <w:szCs w:val="20"/>
          <w:color w:val="auto"/>
        </w:rPr>
      </w:pPr>
      <w:r>
        <w:rPr>
          <w:rFonts w:ascii="Arial" w:cs="Arial" w:eastAsia="Arial" w:hAnsi="Arial"/>
          <w:sz w:val="16"/>
          <w:szCs w:val="16"/>
          <w:color w:val="auto"/>
        </w:rPr>
        <w:t>We anticipate that our general and administrative expenses, including payroll and related expenses, will increase in the future as we continue to increase our headcount to support the expected growth in our business, expand our operations and organizational capabilities, and prepare for potential commercialization of VP-102 for the treatment of molluscum, if successfully developed and approved. We also anticipate increased expenses associated with general operations, including costs related to audit, tax and legal services, director and officer insurance premiums, and investor relations costs.</w:t>
      </w:r>
    </w:p>
    <w:p>
      <w:pPr>
        <w:spacing w:after="0" w:line="2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 for the three months ended June 30, 2021 and 2020</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summarizes our results of operations for the three months ended June 30, 2021 and 2020 (in thousands):</w:t>
      </w:r>
    </w:p>
    <w:p>
      <w:pPr>
        <w:spacing w:after="0" w:line="230" w:lineRule="exact"/>
        <w:rPr>
          <w:sz w:val="20"/>
          <w:szCs w:val="20"/>
          <w:color w:val="auto"/>
        </w:rPr>
      </w:pPr>
    </w:p>
    <w:tbl>
      <w:tblPr>
        <w:tblLayout w:type="fixed"/>
        <w:tblInd w:w="860" w:type="dxa"/>
        <w:tblCellMar>
          <w:top w:w="0" w:type="dxa"/>
          <w:left w:w="0" w:type="dxa"/>
          <w:bottom w:w="0" w:type="dxa"/>
          <w:right w:w="0" w:type="dxa"/>
        </w:tblCellMar>
      </w:tblPr>
      <w:tr>
        <w:trPr>
          <w:trHeight w:val="171"/>
        </w:trPr>
        <w:tc>
          <w:tcPr>
            <w:tcW w:w="36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840" w:type="dxa"/>
            <w:vAlign w:val="bottom"/>
            <w:gridSpan w:val="6"/>
          </w:tcPr>
          <w:p>
            <w:pPr>
              <w:jc w:val="right"/>
              <w:ind w:right="440"/>
              <w:spacing w:after="0"/>
              <w:rPr>
                <w:sz w:val="20"/>
                <w:szCs w:val="20"/>
                <w:color w:val="auto"/>
              </w:rPr>
            </w:pPr>
            <w:r>
              <w:rPr>
                <w:rFonts w:ascii="Arial" w:cs="Arial" w:eastAsia="Arial" w:hAnsi="Arial"/>
                <w:sz w:val="14"/>
                <w:szCs w:val="14"/>
                <w:b w:val="1"/>
                <w:bCs w:val="1"/>
                <w:color w:val="auto"/>
                <w:w w:val="95"/>
              </w:rPr>
              <w:t>For the Three Months Ended June 30,</w:t>
            </w: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gridSpan w:val="2"/>
            <w:vMerge w:val="restart"/>
          </w:tcPr>
          <w:p>
            <w:pPr>
              <w:jc w:val="right"/>
              <w:ind w:right="520"/>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56"/>
        </w:trPr>
        <w:tc>
          <w:tcPr>
            <w:tcW w:w="368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1120" w:type="dxa"/>
            <w:vAlign w:val="bottom"/>
            <w:tcBorders>
              <w:top w:val="single" w:sz="8" w:color="auto"/>
            </w:tcBorders>
          </w:tcPr>
          <w:p>
            <w:pPr>
              <w:jc w:val="right"/>
              <w:ind w:right="414"/>
              <w:spacing w:after="0" w:line="155" w:lineRule="exact"/>
              <w:rPr>
                <w:sz w:val="20"/>
                <w:szCs w:val="20"/>
                <w:color w:val="auto"/>
              </w:rPr>
            </w:pPr>
            <w:r>
              <w:rPr>
                <w:rFonts w:ascii="Arial" w:cs="Arial" w:eastAsia="Arial" w:hAnsi="Arial"/>
                <w:sz w:val="14"/>
                <w:szCs w:val="14"/>
                <w:b w:val="1"/>
                <w:bCs w:val="1"/>
                <w:color w:val="auto"/>
              </w:rPr>
              <w:t>2021</w:t>
            </w:r>
          </w:p>
        </w:tc>
        <w:tc>
          <w:tcPr>
            <w:tcW w:w="14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80" w:type="dxa"/>
            <w:vAlign w:val="bottom"/>
            <w:tcBorders>
              <w:top w:val="single" w:sz="8" w:color="auto"/>
            </w:tcBorders>
          </w:tcPr>
          <w:p>
            <w:pPr>
              <w:spacing w:after="0"/>
              <w:rPr>
                <w:sz w:val="13"/>
                <w:szCs w:val="13"/>
                <w:color w:val="auto"/>
              </w:rPr>
            </w:pPr>
          </w:p>
        </w:tc>
        <w:tc>
          <w:tcPr>
            <w:tcW w:w="1000" w:type="dxa"/>
            <w:vAlign w:val="bottom"/>
            <w:tcBorders>
              <w:top w:val="single" w:sz="8" w:color="auto"/>
            </w:tcBorders>
          </w:tcPr>
          <w:p>
            <w:pPr>
              <w:jc w:val="right"/>
              <w:ind w:right="412"/>
              <w:spacing w:after="0" w:line="155" w:lineRule="exact"/>
              <w:rPr>
                <w:sz w:val="20"/>
                <w:szCs w:val="20"/>
                <w:color w:val="auto"/>
              </w:rPr>
            </w:pPr>
            <w:r>
              <w:rPr>
                <w:rFonts w:ascii="Arial" w:cs="Arial" w:eastAsia="Arial" w:hAnsi="Arial"/>
                <w:sz w:val="14"/>
                <w:szCs w:val="14"/>
                <w:b w:val="1"/>
                <w:bCs w:val="1"/>
                <w:color w:val="auto"/>
              </w:rPr>
              <w:t>2020</w:t>
            </w:r>
          </w:p>
        </w:tc>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4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36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Operating expenses:</w:t>
            </w:r>
          </w:p>
        </w:tc>
        <w:tc>
          <w:tcPr>
            <w:tcW w:w="148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112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680" w:type="dxa"/>
            <w:vAlign w:val="bottom"/>
          </w:tcPr>
          <w:p>
            <w:pPr>
              <w:ind w:left="240"/>
              <w:spacing w:after="0"/>
              <w:rPr>
                <w:sz w:val="20"/>
                <w:szCs w:val="20"/>
                <w:color w:val="auto"/>
              </w:rPr>
            </w:pPr>
            <w:r>
              <w:rPr>
                <w:rFonts w:ascii="Arial" w:cs="Arial" w:eastAsia="Arial" w:hAnsi="Arial"/>
                <w:sz w:val="18"/>
                <w:szCs w:val="18"/>
                <w:color w:val="auto"/>
              </w:rPr>
              <w:t>Research and development</w:t>
            </w:r>
          </w:p>
        </w:tc>
        <w:tc>
          <w:tcPr>
            <w:tcW w:w="1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3,447</w:t>
            </w:r>
          </w:p>
        </w:tc>
        <w:tc>
          <w:tcPr>
            <w:tcW w:w="140" w:type="dxa"/>
            <w:vAlign w:val="bottom"/>
          </w:tcPr>
          <w:p>
            <w:pPr>
              <w:spacing w:after="0"/>
              <w:rPr>
                <w:sz w:val="19"/>
                <w:szCs w:val="19"/>
                <w:color w:val="auto"/>
              </w:rPr>
            </w:pPr>
          </w:p>
        </w:tc>
        <w:tc>
          <w:tcPr>
            <w:tcW w:w="3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3,521</w:t>
            </w:r>
          </w:p>
        </w:tc>
        <w:tc>
          <w:tcPr>
            <w:tcW w:w="220" w:type="dxa"/>
            <w:vAlign w:val="bottom"/>
          </w:tcPr>
          <w:p>
            <w:pPr>
              <w:spacing w:after="0"/>
              <w:rPr>
                <w:sz w:val="19"/>
                <w:szCs w:val="19"/>
                <w:color w:val="auto"/>
              </w:rPr>
            </w:pPr>
          </w:p>
        </w:tc>
        <w:tc>
          <w:tcPr>
            <w:tcW w:w="240" w:type="dxa"/>
            <w:vAlign w:val="bottom"/>
            <w:gridSpan w:val="2"/>
          </w:tcPr>
          <w:p>
            <w:pPr>
              <w:jc w:val="right"/>
              <w:ind w:right="109"/>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230"/>
        </w:trPr>
        <w:tc>
          <w:tcPr>
            <w:tcW w:w="36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General and administrative</w:t>
            </w:r>
          </w:p>
        </w:tc>
        <w:tc>
          <w:tcPr>
            <w:tcW w:w="148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7,284</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5,110</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2,174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6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 operating expenses</w:t>
            </w:r>
          </w:p>
        </w:tc>
        <w:tc>
          <w:tcPr>
            <w:tcW w:w="148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10,731</w:t>
            </w:r>
          </w:p>
        </w:tc>
        <w:tc>
          <w:tcPr>
            <w:tcW w:w="14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8,631</w:t>
            </w:r>
          </w:p>
        </w:tc>
        <w:tc>
          <w:tcPr>
            <w:tcW w:w="22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2,100</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68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Loss from operations</w:t>
            </w:r>
          </w:p>
        </w:tc>
        <w:tc>
          <w:tcPr>
            <w:tcW w:w="148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(10,731)</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(8,631)</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(2,100)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680" w:type="dxa"/>
            <w:vAlign w:val="bottom"/>
          </w:tcPr>
          <w:p>
            <w:pPr>
              <w:spacing w:after="0"/>
              <w:rPr>
                <w:sz w:val="20"/>
                <w:szCs w:val="20"/>
                <w:color w:val="auto"/>
              </w:rPr>
            </w:pPr>
            <w:r>
              <w:rPr>
                <w:rFonts w:ascii="Arial" w:cs="Arial" w:eastAsia="Arial" w:hAnsi="Arial"/>
                <w:sz w:val="18"/>
                <w:szCs w:val="18"/>
                <w:b w:val="1"/>
                <w:bCs w:val="1"/>
                <w:color w:val="auto"/>
              </w:rPr>
              <w:t>Other income (expense):</w:t>
            </w:r>
          </w:p>
        </w:tc>
        <w:tc>
          <w:tcPr>
            <w:tcW w:w="14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6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Interest income</w:t>
            </w:r>
          </w:p>
        </w:tc>
        <w:tc>
          <w:tcPr>
            <w:tcW w:w="14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126</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(93)</w:t>
            </w:r>
          </w:p>
        </w:tc>
        <w:tc>
          <w:tcPr>
            <w:tcW w:w="0" w:type="dxa"/>
            <w:vAlign w:val="bottom"/>
          </w:tcPr>
          <w:p>
            <w:pPr>
              <w:spacing w:after="0"/>
              <w:rPr>
                <w:sz w:val="1"/>
                <w:szCs w:val="1"/>
                <w:color w:val="auto"/>
              </w:rPr>
            </w:pPr>
          </w:p>
        </w:tc>
      </w:tr>
      <w:tr>
        <w:trPr>
          <w:trHeight w:val="230"/>
        </w:trPr>
        <w:tc>
          <w:tcPr>
            <w:tcW w:w="3680" w:type="dxa"/>
            <w:vAlign w:val="bottom"/>
          </w:tcPr>
          <w:p>
            <w:pPr>
              <w:ind w:left="240"/>
              <w:spacing w:after="0"/>
              <w:rPr>
                <w:sz w:val="20"/>
                <w:szCs w:val="20"/>
                <w:color w:val="auto"/>
              </w:rPr>
            </w:pPr>
            <w:r>
              <w:rPr>
                <w:rFonts w:ascii="Arial" w:cs="Arial" w:eastAsia="Arial" w:hAnsi="Arial"/>
                <w:sz w:val="18"/>
                <w:szCs w:val="18"/>
                <w:color w:val="auto"/>
              </w:rPr>
              <w:t>Interest expense</w:t>
            </w:r>
          </w:p>
        </w:tc>
        <w:tc>
          <w:tcPr>
            <w:tcW w:w="14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gridSpan w:val="2"/>
          </w:tcPr>
          <w:p>
            <w:pPr>
              <w:jc w:val="right"/>
              <w:ind w:right="80"/>
              <w:spacing w:after="0"/>
              <w:rPr>
                <w:sz w:val="20"/>
                <w:szCs w:val="20"/>
                <w:color w:val="auto"/>
              </w:rPr>
            </w:pPr>
            <w:r>
              <w:rPr>
                <w:rFonts w:ascii="Arial" w:cs="Arial" w:eastAsia="Arial" w:hAnsi="Arial"/>
                <w:sz w:val="18"/>
                <w:szCs w:val="18"/>
                <w:color w:val="auto"/>
              </w:rPr>
              <w:t>(1,077)</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8"/>
                <w:szCs w:val="18"/>
                <w:color w:val="auto"/>
              </w:rPr>
              <w:t>(904)</w:t>
            </w: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(173)</w:t>
            </w:r>
          </w:p>
        </w:tc>
        <w:tc>
          <w:tcPr>
            <w:tcW w:w="0" w:type="dxa"/>
            <w:vAlign w:val="bottom"/>
          </w:tcPr>
          <w:p>
            <w:pPr>
              <w:spacing w:after="0"/>
              <w:rPr>
                <w:sz w:val="1"/>
                <w:szCs w:val="1"/>
                <w:color w:val="auto"/>
              </w:rPr>
            </w:pPr>
          </w:p>
        </w:tc>
      </w:tr>
      <w:tr>
        <w:trPr>
          <w:trHeight w:val="223"/>
        </w:trPr>
        <w:tc>
          <w:tcPr>
            <w:tcW w:w="36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other expense</w:t>
            </w:r>
          </w:p>
        </w:tc>
        <w:tc>
          <w:tcPr>
            <w:tcW w:w="148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bottom w:val="single" w:sz="8" w:color="auto"/>
            </w:tcBorders>
            <w:shd w:val="clear" w:color="auto" w:fill="CFF0FC"/>
          </w:tcPr>
          <w:p>
            <w:pPr>
              <w:spacing w:after="0"/>
              <w:rPr>
                <w:sz w:val="19"/>
                <w:szCs w:val="19"/>
                <w:color w:val="auto"/>
              </w:rPr>
            </w:pPr>
          </w:p>
        </w:tc>
        <w:tc>
          <w:tcPr>
            <w:tcW w:w="1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(1,044)</w:t>
            </w: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280" w:type="dxa"/>
            <w:vAlign w:val="bottom"/>
            <w:tcBorders>
              <w:top w:val="single" w:sz="8" w:color="auto"/>
              <w:bottom w:val="single" w:sz="8" w:color="auto"/>
            </w:tcBorders>
            <w:shd w:val="clear" w:color="auto" w:fill="CFF0FC"/>
          </w:tcPr>
          <w:p>
            <w:pPr>
              <w:spacing w:after="0"/>
              <w:rPr>
                <w:sz w:val="19"/>
                <w:szCs w:val="19"/>
                <w:color w:val="auto"/>
              </w:rPr>
            </w:pPr>
          </w:p>
        </w:tc>
        <w:tc>
          <w:tcPr>
            <w:tcW w:w="10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(778)</w:t>
            </w:r>
          </w:p>
        </w:tc>
        <w:tc>
          <w:tcPr>
            <w:tcW w:w="22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bottom w:val="single" w:sz="8" w:color="auto"/>
            </w:tcBorders>
            <w:shd w:val="clear" w:color="auto" w:fill="CFF0FC"/>
          </w:tcPr>
          <w:p>
            <w:pPr>
              <w:spacing w:after="0"/>
              <w:rPr>
                <w:sz w:val="19"/>
                <w:szCs w:val="19"/>
                <w:color w:val="auto"/>
              </w:rPr>
            </w:pPr>
          </w:p>
        </w:tc>
        <w:tc>
          <w:tcPr>
            <w:tcW w:w="10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(266)</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680" w:type="dxa"/>
            <w:vAlign w:val="bottom"/>
          </w:tcPr>
          <w:p>
            <w:pPr>
              <w:spacing w:after="0"/>
              <w:rPr>
                <w:sz w:val="20"/>
                <w:szCs w:val="20"/>
                <w:color w:val="auto"/>
              </w:rPr>
            </w:pPr>
            <w:r>
              <w:rPr>
                <w:rFonts w:ascii="Arial" w:cs="Arial" w:eastAsia="Arial" w:hAnsi="Arial"/>
                <w:sz w:val="18"/>
                <w:szCs w:val="18"/>
                <w:b w:val="1"/>
                <w:bCs w:val="1"/>
                <w:color w:val="auto"/>
              </w:rPr>
              <w:t>Net loss</w:t>
            </w:r>
          </w:p>
        </w:tc>
        <w:tc>
          <w:tcPr>
            <w:tcW w:w="148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(11,775)</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(9,409)</w:t>
            </w:r>
          </w:p>
        </w:tc>
        <w:tc>
          <w:tcPr>
            <w:tcW w:w="2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jc w:val="right"/>
              <w:ind w:right="109"/>
              <w:spacing w:after="0"/>
              <w:rPr>
                <w:sz w:val="20"/>
                <w:szCs w:val="20"/>
                <w:color w:val="auto"/>
              </w:rPr>
            </w:pPr>
            <w:r>
              <w:rPr>
                <w:rFonts w:ascii="Arial" w:cs="Arial" w:eastAsia="Arial" w:hAnsi="Arial"/>
                <w:sz w:val="10"/>
                <w:szCs w:val="10"/>
                <w:b w:val="1"/>
                <w:bCs w:val="1"/>
                <w:color w:val="auto"/>
                <w:w w:val="71"/>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(2,366)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68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34"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Research and Development Expenses</w:t>
      </w:r>
    </w:p>
    <w:p>
      <w:pPr>
        <w:spacing w:after="0" w:line="117" w:lineRule="exact"/>
        <w:rPr>
          <w:sz w:val="20"/>
          <w:szCs w:val="20"/>
          <w:color w:val="auto"/>
        </w:rPr>
      </w:pPr>
    </w:p>
    <w:p>
      <w:pPr>
        <w:ind w:right="40" w:firstLine="510"/>
        <w:spacing w:after="0" w:line="263" w:lineRule="auto"/>
        <w:rPr>
          <w:sz w:val="20"/>
          <w:szCs w:val="20"/>
          <w:color w:val="auto"/>
        </w:rPr>
      </w:pPr>
      <w:r>
        <w:rPr>
          <w:rFonts w:ascii="Arial" w:cs="Arial" w:eastAsia="Arial" w:hAnsi="Arial"/>
          <w:sz w:val="18"/>
          <w:szCs w:val="18"/>
          <w:color w:val="auto"/>
        </w:rPr>
        <w:t>Research and development expenses were $3.4 million for the three months ended June 30, 2021, compared to $3.5 million for the three months ended June 30, 2020. The decrease of $0.1 million was primarily attributable to decreased clinical costs related to our development of VP-102 for external genital warts and common warts, partially offset by increased compensation costs.</w:t>
      </w:r>
    </w:p>
    <w:p>
      <w:pPr>
        <w:spacing w:after="0" w:line="103"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General and Administrative Expenses</w:t>
      </w:r>
    </w:p>
    <w:p>
      <w:pPr>
        <w:spacing w:after="0" w:line="117" w:lineRule="exact"/>
        <w:rPr>
          <w:sz w:val="20"/>
          <w:szCs w:val="20"/>
          <w:color w:val="auto"/>
        </w:rPr>
      </w:pPr>
    </w:p>
    <w:p>
      <w:pPr>
        <w:ind w:right="40" w:firstLine="510"/>
        <w:spacing w:after="0" w:line="286" w:lineRule="auto"/>
        <w:rPr>
          <w:sz w:val="20"/>
          <w:szCs w:val="20"/>
          <w:color w:val="auto"/>
        </w:rPr>
      </w:pPr>
      <w:r>
        <w:rPr>
          <w:rFonts w:ascii="Arial" w:cs="Arial" w:eastAsia="Arial" w:hAnsi="Arial"/>
          <w:sz w:val="17"/>
          <w:szCs w:val="17"/>
          <w:color w:val="auto"/>
        </w:rPr>
        <w:t>General and administrative expenses were $7.3 million for the three months ended June 30, 2021, compared to $5.1 million for the three months ended June 30, 2020. The increase of $2.2 million was primarily a result of expenses related to increased headcount, an increase in insurance, professional fees and other operating costs, and an increase in expenses related to pre-commercial activities for VP-102.</w:t>
      </w:r>
    </w:p>
    <w:p>
      <w:pPr>
        <w:spacing w:after="0" w:line="16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60"/>
          </w:cols>
          <w:pgMar w:left="320" w:top="449" w:right="419" w:bottom="1440" w:gutter="0" w:footer="0" w:header="0"/>
        </w:sectPr>
      </w:pPr>
    </w:p>
    <w:bookmarkStart w:id="20" w:name="page21"/>
    <w:bookmarkEnd w:id="20"/>
    <w:p>
      <w:pPr>
        <w:ind w:left="260"/>
        <w:spacing w:after="0"/>
        <w:rPr>
          <w:sz w:val="20"/>
          <w:szCs w:val="20"/>
          <w:color w:val="auto"/>
        </w:rPr>
      </w:pPr>
      <w:r>
        <w:rPr>
          <w:rFonts w:ascii="Arial" w:cs="Arial" w:eastAsia="Arial" w:hAnsi="Arial"/>
          <w:sz w:val="18"/>
          <w:szCs w:val="18"/>
          <w:i w:val="1"/>
          <w:iCs w:val="1"/>
          <w:color w:val="auto"/>
        </w:rPr>
        <w:t>Interest Income</w:t>
      </w:r>
    </w:p>
    <w:p>
      <w:pPr>
        <w:spacing w:after="0" w:line="117" w:lineRule="exact"/>
        <w:rPr>
          <w:sz w:val="20"/>
          <w:szCs w:val="20"/>
          <w:color w:val="auto"/>
        </w:rPr>
      </w:pPr>
    </w:p>
    <w:p>
      <w:pPr>
        <w:ind w:right="620" w:firstLine="510"/>
        <w:spacing w:after="0" w:line="277" w:lineRule="auto"/>
        <w:rPr>
          <w:sz w:val="20"/>
          <w:szCs w:val="20"/>
          <w:color w:val="auto"/>
        </w:rPr>
      </w:pPr>
      <w:r>
        <w:rPr>
          <w:rFonts w:ascii="Arial" w:cs="Arial" w:eastAsia="Arial" w:hAnsi="Arial"/>
          <w:sz w:val="18"/>
          <w:szCs w:val="18"/>
          <w:color w:val="auto"/>
        </w:rPr>
        <w:t>Interest income for the periods presented consisted primarily of interest earned on our cash, cash equivalents and marketable securities. The decrease of $0.1 million was primarily a result of lower interest income due to lower interest rates.</w:t>
      </w:r>
    </w:p>
    <w:p>
      <w:pPr>
        <w:spacing w:after="0" w:line="278"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Interest Expense</w:t>
      </w:r>
    </w:p>
    <w:p>
      <w:pPr>
        <w:spacing w:after="0" w:line="117" w:lineRule="exact"/>
        <w:rPr>
          <w:sz w:val="20"/>
          <w:szCs w:val="20"/>
          <w:color w:val="auto"/>
        </w:rPr>
      </w:pPr>
    </w:p>
    <w:p>
      <w:pPr>
        <w:ind w:right="20" w:firstLine="510"/>
        <w:spacing w:after="0" w:line="277" w:lineRule="auto"/>
        <w:rPr>
          <w:sz w:val="20"/>
          <w:szCs w:val="20"/>
          <w:color w:val="auto"/>
        </w:rPr>
      </w:pPr>
      <w:r>
        <w:rPr>
          <w:rFonts w:ascii="Arial" w:cs="Arial" w:eastAsia="Arial" w:hAnsi="Arial"/>
          <w:sz w:val="18"/>
          <w:szCs w:val="18"/>
          <w:color w:val="auto"/>
        </w:rPr>
        <w:t>Interest expense for the three months ended June 30, 2021 consisted of interest expense on the Mezzanine Loan Agreement as noted in Note 7 to our condensed financial statements.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 for the Six Months Ended June 30, 2021 and 2020</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summarizes our results of operations for the six months ended June 30, 2021 and 2020 (in thousands):</w:t>
      </w:r>
    </w:p>
    <w:p>
      <w:pPr>
        <w:spacing w:after="0" w:line="298" w:lineRule="exact"/>
        <w:rPr>
          <w:sz w:val="20"/>
          <w:szCs w:val="20"/>
          <w:color w:val="auto"/>
        </w:rPr>
      </w:pPr>
    </w:p>
    <w:tbl>
      <w:tblPr>
        <w:tblLayout w:type="fixed"/>
        <w:tblInd w:w="580" w:type="dxa"/>
        <w:tblCellMar>
          <w:top w:w="0" w:type="dxa"/>
          <w:left w:w="0" w:type="dxa"/>
          <w:bottom w:w="0" w:type="dxa"/>
          <w:right w:w="0" w:type="dxa"/>
        </w:tblCellMar>
      </w:tblPr>
      <w:tr>
        <w:trPr>
          <w:trHeight w:val="171"/>
        </w:trPr>
        <w:tc>
          <w:tcPr>
            <w:tcW w:w="384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920" w:type="dxa"/>
            <w:vAlign w:val="bottom"/>
            <w:gridSpan w:val="6"/>
          </w:tcPr>
          <w:p>
            <w:pPr>
              <w:jc w:val="right"/>
              <w:ind w:right="620"/>
              <w:spacing w:after="0"/>
              <w:rPr>
                <w:sz w:val="20"/>
                <w:szCs w:val="20"/>
                <w:color w:val="auto"/>
              </w:rPr>
            </w:pPr>
            <w:r>
              <w:rPr>
                <w:rFonts w:ascii="Arial" w:cs="Arial" w:eastAsia="Arial" w:hAnsi="Arial"/>
                <w:sz w:val="14"/>
                <w:szCs w:val="14"/>
                <w:b w:val="1"/>
                <w:bCs w:val="1"/>
                <w:color w:val="auto"/>
                <w:w w:val="97"/>
              </w:rPr>
              <w:t>For the Six Months Ended June 30,</w:t>
            </w:r>
          </w:p>
        </w:tc>
        <w:tc>
          <w:tcPr>
            <w:tcW w:w="260" w:type="dxa"/>
            <w:vAlign w:val="bottom"/>
          </w:tcPr>
          <w:p>
            <w:pPr>
              <w:spacing w:after="0"/>
              <w:rPr>
                <w:sz w:val="14"/>
                <w:szCs w:val="14"/>
                <w:color w:val="auto"/>
              </w:rPr>
            </w:pPr>
          </w:p>
        </w:tc>
        <w:tc>
          <w:tcPr>
            <w:tcW w:w="1200" w:type="dxa"/>
            <w:vAlign w:val="bottom"/>
            <w:gridSpan w:val="2"/>
            <w:vMerge w:val="restart"/>
          </w:tcPr>
          <w:p>
            <w:pPr>
              <w:jc w:val="right"/>
              <w:ind w:right="560"/>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56"/>
        </w:trPr>
        <w:tc>
          <w:tcPr>
            <w:tcW w:w="384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240" w:type="dxa"/>
            <w:vAlign w:val="bottom"/>
            <w:tcBorders>
              <w:top w:val="single" w:sz="8" w:color="auto"/>
            </w:tcBorders>
          </w:tcPr>
          <w:p>
            <w:pPr>
              <w:spacing w:after="0"/>
              <w:rPr>
                <w:sz w:val="13"/>
                <w:szCs w:val="13"/>
                <w:color w:val="auto"/>
              </w:rPr>
            </w:pPr>
          </w:p>
        </w:tc>
        <w:tc>
          <w:tcPr>
            <w:tcW w:w="1100" w:type="dxa"/>
            <w:vAlign w:val="bottom"/>
            <w:tcBorders>
              <w:top w:val="single" w:sz="8" w:color="auto"/>
            </w:tcBorders>
          </w:tcPr>
          <w:p>
            <w:pPr>
              <w:jc w:val="right"/>
              <w:ind w:right="433"/>
              <w:spacing w:after="0" w:line="155" w:lineRule="exact"/>
              <w:rPr>
                <w:sz w:val="20"/>
                <w:szCs w:val="20"/>
                <w:color w:val="auto"/>
              </w:rPr>
            </w:pPr>
            <w:r>
              <w:rPr>
                <w:rFonts w:ascii="Arial" w:cs="Arial" w:eastAsia="Arial" w:hAnsi="Arial"/>
                <w:sz w:val="14"/>
                <w:szCs w:val="14"/>
                <w:b w:val="1"/>
                <w:bCs w:val="1"/>
                <w:color w:val="auto"/>
              </w:rPr>
              <w:t>2021</w:t>
            </w:r>
          </w:p>
        </w:tc>
        <w:tc>
          <w:tcPr>
            <w:tcW w:w="16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300" w:type="dxa"/>
            <w:vAlign w:val="bottom"/>
            <w:tcBorders>
              <w:top w:val="single" w:sz="8" w:color="auto"/>
            </w:tcBorders>
          </w:tcPr>
          <w:p>
            <w:pPr>
              <w:spacing w:after="0"/>
              <w:rPr>
                <w:sz w:val="13"/>
                <w:szCs w:val="13"/>
                <w:color w:val="auto"/>
              </w:rPr>
            </w:pPr>
          </w:p>
        </w:tc>
        <w:tc>
          <w:tcPr>
            <w:tcW w:w="1040" w:type="dxa"/>
            <w:vAlign w:val="bottom"/>
            <w:tcBorders>
              <w:top w:val="single" w:sz="8" w:color="auto"/>
            </w:tcBorders>
          </w:tcPr>
          <w:p>
            <w:pPr>
              <w:jc w:val="right"/>
              <w:ind w:right="452"/>
              <w:spacing w:after="0" w:line="155" w:lineRule="exact"/>
              <w:rPr>
                <w:sz w:val="20"/>
                <w:szCs w:val="20"/>
                <w:color w:val="auto"/>
              </w:rPr>
            </w:pPr>
            <w:r>
              <w:rPr>
                <w:rFonts w:ascii="Arial" w:cs="Arial" w:eastAsia="Arial" w:hAnsi="Arial"/>
                <w:sz w:val="14"/>
                <w:szCs w:val="14"/>
                <w:b w:val="1"/>
                <w:bCs w:val="1"/>
                <w:color w:val="auto"/>
              </w:rPr>
              <w:t>2020</w:t>
            </w:r>
          </w:p>
        </w:tc>
        <w:tc>
          <w:tcPr>
            <w:tcW w:w="2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0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38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License revenue</w:t>
            </w:r>
          </w:p>
        </w:tc>
        <w:tc>
          <w:tcPr>
            <w:tcW w:w="164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12,000</w:t>
            </w:r>
          </w:p>
        </w:tc>
        <w:tc>
          <w:tcPr>
            <w:tcW w:w="16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jc w:val="right"/>
              <w:ind w:right="147"/>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12,000</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840" w:type="dxa"/>
            <w:vAlign w:val="bottom"/>
          </w:tcPr>
          <w:p>
            <w:pPr>
              <w:spacing w:after="0"/>
              <w:rPr>
                <w:sz w:val="20"/>
                <w:szCs w:val="20"/>
                <w:color w:val="auto"/>
              </w:rPr>
            </w:pPr>
            <w:r>
              <w:rPr>
                <w:rFonts w:ascii="Arial" w:cs="Arial" w:eastAsia="Arial" w:hAnsi="Arial"/>
                <w:sz w:val="18"/>
                <w:szCs w:val="18"/>
                <w:b w:val="1"/>
                <w:bCs w:val="1"/>
                <w:color w:val="auto"/>
              </w:rPr>
              <w:t>Operating expenses:</w:t>
            </w:r>
          </w:p>
        </w:tc>
        <w:tc>
          <w:tcPr>
            <w:tcW w:w="16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40" w:type="dxa"/>
            <w:vAlign w:val="bottom"/>
            <w:shd w:val="clear" w:color="auto" w:fill="CFF0FC"/>
          </w:tcPr>
          <w:p>
            <w:pPr>
              <w:ind w:left="240"/>
              <w:spacing w:after="0"/>
              <w:rPr>
                <w:sz w:val="20"/>
                <w:szCs w:val="20"/>
                <w:color w:val="auto"/>
              </w:rPr>
            </w:pPr>
            <w:r>
              <w:rPr>
                <w:rFonts w:ascii="Arial" w:cs="Arial" w:eastAsia="Arial" w:hAnsi="Arial"/>
                <w:sz w:val="18"/>
                <w:szCs w:val="18"/>
                <w:color w:val="auto"/>
              </w:rPr>
              <w:t>Research and development</w:t>
            </w:r>
          </w:p>
        </w:tc>
        <w:tc>
          <w:tcPr>
            <w:tcW w:w="16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8,809</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8,413</w:t>
            </w:r>
          </w:p>
        </w:tc>
        <w:tc>
          <w:tcPr>
            <w:tcW w:w="2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396</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840" w:type="dxa"/>
            <w:vAlign w:val="bottom"/>
            <w:tcBorders>
              <w:bottom w:val="single" w:sz="8" w:color="CFF0FC"/>
            </w:tcBorders>
          </w:tcPr>
          <w:p>
            <w:pPr>
              <w:ind w:left="240"/>
              <w:spacing w:after="0"/>
              <w:rPr>
                <w:sz w:val="20"/>
                <w:szCs w:val="20"/>
                <w:color w:val="auto"/>
              </w:rPr>
            </w:pPr>
            <w:r>
              <w:rPr>
                <w:rFonts w:ascii="Arial" w:cs="Arial" w:eastAsia="Arial" w:hAnsi="Arial"/>
                <w:sz w:val="18"/>
                <w:szCs w:val="18"/>
                <w:color w:val="auto"/>
              </w:rPr>
              <w:t>General and administrative</w:t>
            </w:r>
          </w:p>
        </w:tc>
        <w:tc>
          <w:tcPr>
            <w:tcW w:w="16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13,861</w:t>
            </w:r>
          </w:p>
        </w:tc>
        <w:tc>
          <w:tcPr>
            <w:tcW w:w="16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10,098</w:t>
            </w:r>
          </w:p>
        </w:tc>
        <w:tc>
          <w:tcPr>
            <w:tcW w:w="24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3,763</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840" w:type="dxa"/>
            <w:vAlign w:val="bottom"/>
            <w:shd w:val="clear" w:color="auto" w:fill="CFF0FC"/>
          </w:tcPr>
          <w:p>
            <w:pPr>
              <w:spacing w:after="0"/>
              <w:rPr>
                <w:sz w:val="20"/>
                <w:szCs w:val="20"/>
                <w:color w:val="auto"/>
              </w:rPr>
            </w:pPr>
            <w:r>
              <w:rPr>
                <w:rFonts w:ascii="Arial" w:cs="Arial" w:eastAsia="Arial" w:hAnsi="Arial"/>
                <w:sz w:val="18"/>
                <w:szCs w:val="18"/>
                <w:color w:val="auto"/>
              </w:rPr>
              <w:t>Total operating expenses</w:t>
            </w:r>
          </w:p>
        </w:tc>
        <w:tc>
          <w:tcPr>
            <w:tcW w:w="16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22,670</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18,511</w:t>
            </w:r>
          </w:p>
        </w:tc>
        <w:tc>
          <w:tcPr>
            <w:tcW w:w="24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4,159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840" w:type="dxa"/>
            <w:vAlign w:val="bottom"/>
            <w:tcBorders>
              <w:bottom w:val="single" w:sz="8" w:color="CFF0FC"/>
            </w:tcBorders>
          </w:tcPr>
          <w:p>
            <w:pPr>
              <w:spacing w:after="0"/>
              <w:rPr>
                <w:sz w:val="20"/>
                <w:szCs w:val="20"/>
                <w:color w:val="auto"/>
              </w:rPr>
            </w:pPr>
            <w:r>
              <w:rPr>
                <w:rFonts w:ascii="Arial" w:cs="Arial" w:eastAsia="Arial" w:hAnsi="Arial"/>
                <w:sz w:val="18"/>
                <w:szCs w:val="18"/>
                <w:b w:val="1"/>
                <w:bCs w:val="1"/>
                <w:color w:val="auto"/>
              </w:rPr>
              <w:t>Loss from operations</w:t>
            </w:r>
          </w:p>
        </w:tc>
        <w:tc>
          <w:tcPr>
            <w:tcW w:w="16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(10,670)</w:t>
            </w:r>
          </w:p>
        </w:tc>
        <w:tc>
          <w:tcPr>
            <w:tcW w:w="16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(18,511)</w:t>
            </w:r>
          </w:p>
        </w:tc>
        <w:tc>
          <w:tcPr>
            <w:tcW w:w="24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7,841</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84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Other income (expense):</w:t>
            </w:r>
          </w:p>
        </w:tc>
        <w:tc>
          <w:tcPr>
            <w:tcW w:w="16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840" w:type="dxa"/>
            <w:vAlign w:val="bottom"/>
          </w:tcPr>
          <w:p>
            <w:pPr>
              <w:ind w:left="240"/>
              <w:spacing w:after="0"/>
              <w:rPr>
                <w:sz w:val="20"/>
                <w:szCs w:val="20"/>
                <w:color w:val="auto"/>
              </w:rPr>
            </w:pPr>
            <w:r>
              <w:rPr>
                <w:rFonts w:ascii="Arial" w:cs="Arial" w:eastAsia="Arial" w:hAnsi="Arial"/>
                <w:sz w:val="18"/>
                <w:szCs w:val="18"/>
                <w:color w:val="auto"/>
              </w:rPr>
              <w:t>Interest income</w:t>
            </w:r>
          </w:p>
        </w:tc>
        <w:tc>
          <w:tcPr>
            <w:tcW w:w="16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65</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404</w:t>
            </w:r>
          </w:p>
        </w:tc>
        <w:tc>
          <w:tcPr>
            <w:tcW w:w="2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(339)</w:t>
            </w:r>
          </w:p>
        </w:tc>
        <w:tc>
          <w:tcPr>
            <w:tcW w:w="0" w:type="dxa"/>
            <w:vAlign w:val="bottom"/>
          </w:tcPr>
          <w:p>
            <w:pPr>
              <w:spacing w:after="0"/>
              <w:rPr>
                <w:sz w:val="1"/>
                <w:szCs w:val="1"/>
                <w:color w:val="auto"/>
              </w:rPr>
            </w:pPr>
          </w:p>
        </w:tc>
      </w:tr>
      <w:tr>
        <w:trPr>
          <w:trHeight w:val="230"/>
        </w:trPr>
        <w:tc>
          <w:tcPr>
            <w:tcW w:w="3840" w:type="dxa"/>
            <w:vAlign w:val="bottom"/>
            <w:shd w:val="clear" w:color="auto" w:fill="CFF0FC"/>
          </w:tcPr>
          <w:p>
            <w:pPr>
              <w:ind w:left="240"/>
              <w:spacing w:after="0"/>
              <w:rPr>
                <w:sz w:val="20"/>
                <w:szCs w:val="20"/>
                <w:color w:val="auto"/>
              </w:rPr>
            </w:pPr>
            <w:r>
              <w:rPr>
                <w:rFonts w:ascii="Arial" w:cs="Arial" w:eastAsia="Arial" w:hAnsi="Arial"/>
                <w:sz w:val="18"/>
                <w:szCs w:val="18"/>
                <w:color w:val="auto"/>
              </w:rPr>
              <w:t>Interest expense</w:t>
            </w:r>
          </w:p>
        </w:tc>
        <w:tc>
          <w:tcPr>
            <w:tcW w:w="16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(2,106)</w:t>
            </w:r>
          </w:p>
        </w:tc>
        <w:tc>
          <w:tcPr>
            <w:tcW w:w="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(1,124)</w:t>
            </w:r>
          </w:p>
        </w:tc>
        <w:tc>
          <w:tcPr>
            <w:tcW w:w="26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(982)</w:t>
            </w:r>
          </w:p>
        </w:tc>
        <w:tc>
          <w:tcPr>
            <w:tcW w:w="0" w:type="dxa"/>
            <w:vAlign w:val="bottom"/>
          </w:tcPr>
          <w:p>
            <w:pPr>
              <w:spacing w:after="0"/>
              <w:rPr>
                <w:sz w:val="1"/>
                <w:szCs w:val="1"/>
                <w:color w:val="auto"/>
              </w:rPr>
            </w:pPr>
          </w:p>
        </w:tc>
      </w:tr>
      <w:tr>
        <w:trPr>
          <w:trHeight w:val="223"/>
        </w:trPr>
        <w:tc>
          <w:tcPr>
            <w:tcW w:w="38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 other expense</w:t>
            </w:r>
          </w:p>
        </w:tc>
        <w:tc>
          <w:tcPr>
            <w:tcW w:w="1640" w:type="dxa"/>
            <w:vAlign w:val="bottom"/>
            <w:tcBorders>
              <w:bottom w:val="single" w:sz="8" w:color="CFF0FC"/>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(2,041)</w:t>
            </w:r>
          </w:p>
        </w:tc>
        <w:tc>
          <w:tcPr>
            <w:tcW w:w="16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(720)</w:t>
            </w:r>
          </w:p>
        </w:tc>
        <w:tc>
          <w:tcPr>
            <w:tcW w:w="240" w:type="dxa"/>
            <w:vAlign w:val="bottom"/>
            <w:tcBorders>
              <w:bottom w:val="single" w:sz="8" w:color="CFF0FC"/>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(1,321)</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8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Net loss</w:t>
            </w:r>
          </w:p>
        </w:tc>
        <w:tc>
          <w:tcPr>
            <w:tcW w:w="1640" w:type="dxa"/>
            <w:vAlign w:val="bottom"/>
            <w:tcBorders>
              <w:bottom w:val="single" w:sz="8" w:color="CFF0FC"/>
            </w:tcBorders>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1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(12,711)</w:t>
            </w:r>
          </w:p>
        </w:tc>
        <w:tc>
          <w:tcPr>
            <w:tcW w:w="160" w:type="dxa"/>
            <w:vAlign w:val="bottom"/>
            <w:tcBorders>
              <w:bottom w:val="single" w:sz="8" w:color="CFF0FC"/>
            </w:tcBorders>
            <w:shd w:val="clear" w:color="auto" w:fill="CFF0FC"/>
          </w:tcPr>
          <w:p>
            <w:pPr>
              <w:spacing w:after="0"/>
              <w:rPr>
                <w:sz w:val="19"/>
                <w:szCs w:val="19"/>
                <w:color w:val="auto"/>
              </w:rPr>
            </w:pPr>
          </w:p>
        </w:tc>
        <w:tc>
          <w:tcPr>
            <w:tcW w:w="80" w:type="dxa"/>
            <w:vAlign w:val="bottom"/>
            <w:tcBorders>
              <w:bottom w:val="single" w:sz="8" w:color="CFF0FC"/>
            </w:tcBorders>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jc w:val="right"/>
              <w:ind w:right="147"/>
              <w:spacing w:after="0"/>
              <w:rPr>
                <w:sz w:val="20"/>
                <w:szCs w:val="20"/>
                <w:color w:val="auto"/>
              </w:rPr>
            </w:pPr>
            <w:r>
              <w:rPr>
                <w:rFonts w:ascii="Arial" w:cs="Arial" w:eastAsia="Arial" w:hAnsi="Arial"/>
                <w:sz w:val="15"/>
                <w:szCs w:val="15"/>
                <w:b w:val="1"/>
                <w:bCs w:val="1"/>
                <w:color w:val="auto"/>
                <w:w w:val="71"/>
              </w:rPr>
              <w:t>$</w:t>
            </w: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(19,231)</w:t>
            </w:r>
          </w:p>
        </w:tc>
        <w:tc>
          <w:tcPr>
            <w:tcW w:w="240" w:type="dxa"/>
            <w:vAlign w:val="bottom"/>
            <w:tcBorders>
              <w:bottom w:val="single" w:sz="8" w:color="CFF0FC"/>
            </w:tcBorders>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jc w:val="right"/>
              <w:ind w:right="107"/>
              <w:spacing w:after="0"/>
              <w:rPr>
                <w:sz w:val="20"/>
                <w:szCs w:val="20"/>
                <w:color w:val="auto"/>
              </w:rPr>
            </w:pPr>
            <w:r>
              <w:rPr>
                <w:rFonts w:ascii="Arial" w:cs="Arial" w:eastAsia="Arial" w:hAnsi="Arial"/>
                <w:sz w:val="15"/>
                <w:szCs w:val="15"/>
                <w:b w:val="1"/>
                <w:bCs w:val="1"/>
                <w:color w:val="auto"/>
                <w:w w:val="71"/>
              </w:rPr>
              <w:t>$</w:t>
            </w: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6,520</w:t>
            </w:r>
          </w:p>
        </w:tc>
        <w:tc>
          <w:tcPr>
            <w:tcW w:w="12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84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34"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License Revenue</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7"/>
          <w:szCs w:val="17"/>
          <w:color w:val="auto"/>
        </w:rPr>
        <w:t>License revenue was $12.0 million for the six months ended June 30, 2021 compared to no license revenue for the six months ended June 30,</w:t>
      </w:r>
    </w:p>
    <w:p>
      <w:pPr>
        <w:spacing w:after="0" w:line="35" w:lineRule="exact"/>
        <w:rPr>
          <w:sz w:val="20"/>
          <w:szCs w:val="20"/>
          <w:color w:val="auto"/>
        </w:rPr>
      </w:pPr>
    </w:p>
    <w:p>
      <w:pPr>
        <w:ind w:right="20"/>
        <w:spacing w:after="0" w:line="260" w:lineRule="auto"/>
        <w:rPr>
          <w:sz w:val="20"/>
          <w:szCs w:val="20"/>
          <w:color w:val="auto"/>
        </w:rPr>
      </w:pPr>
      <w:r>
        <w:rPr>
          <w:rFonts w:ascii="Arial" w:cs="Arial" w:eastAsia="Arial" w:hAnsi="Arial"/>
          <w:sz w:val="18"/>
          <w:szCs w:val="18"/>
          <w:color w:val="auto"/>
        </w:rPr>
        <w:t>2020. Pursuant to the exercise of the license option on March 17, 2021 per the Torii Agreement, we recognized revenue of $12.0 million comprised of $0.5 received in December 2020, and an $11.5 million up-front payment paid in April 2021.</w:t>
      </w:r>
    </w:p>
    <w:p>
      <w:pPr>
        <w:spacing w:after="0" w:line="104"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Research and Development Expenses</w:t>
      </w:r>
    </w:p>
    <w:p>
      <w:pPr>
        <w:spacing w:after="0" w:line="117" w:lineRule="exact"/>
        <w:rPr>
          <w:sz w:val="20"/>
          <w:szCs w:val="20"/>
          <w:color w:val="auto"/>
        </w:rPr>
      </w:pPr>
    </w:p>
    <w:p>
      <w:pPr>
        <w:jc w:val="both"/>
        <w:ind w:right="160" w:firstLine="510"/>
        <w:spacing w:after="0" w:line="259" w:lineRule="auto"/>
        <w:rPr>
          <w:sz w:val="20"/>
          <w:szCs w:val="20"/>
          <w:color w:val="auto"/>
        </w:rPr>
      </w:pPr>
      <w:r>
        <w:rPr>
          <w:rFonts w:ascii="Arial" w:cs="Arial" w:eastAsia="Arial" w:hAnsi="Arial"/>
          <w:sz w:val="18"/>
          <w:szCs w:val="18"/>
          <w:color w:val="auto"/>
        </w:rPr>
        <w:t>Research and development expenses were $8.8 million for the six months ended June 30, 2021, compared to $8.4 million for the six months ended June 30, 2020. The increase was primarily attributable to a one-time $2.3 million milestone payment made to Lytix upon the achievement of a regulatory milestone for LTX-315, partially offset by decreased CMC and clinical costs related to our development of VP-102 for molluscum, external genital warts and common warts.</w:t>
      </w:r>
    </w:p>
    <w:p>
      <w:pPr>
        <w:spacing w:after="0" w:line="119"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General and Administrative Expenses</w:t>
      </w:r>
    </w:p>
    <w:p>
      <w:pPr>
        <w:spacing w:after="0" w:line="117" w:lineRule="exact"/>
        <w:rPr>
          <w:sz w:val="20"/>
          <w:szCs w:val="20"/>
          <w:color w:val="auto"/>
        </w:rPr>
      </w:pPr>
    </w:p>
    <w:p>
      <w:pPr>
        <w:ind w:right="120" w:firstLine="510"/>
        <w:spacing w:after="0" w:line="286" w:lineRule="auto"/>
        <w:rPr>
          <w:sz w:val="20"/>
          <w:szCs w:val="20"/>
          <w:color w:val="auto"/>
        </w:rPr>
      </w:pPr>
      <w:r>
        <w:rPr>
          <w:rFonts w:ascii="Arial" w:cs="Arial" w:eastAsia="Arial" w:hAnsi="Arial"/>
          <w:sz w:val="17"/>
          <w:szCs w:val="17"/>
          <w:color w:val="auto"/>
        </w:rPr>
        <w:t>General and administrative expenses were $13.9 million for the six months ended June 30, 2021, compared to $10.1 million for the six months ended June 30, 2020. The increase of $3.8 million was primarily a result of expenses related to increased headcount, an increase in insurance, professional fees and other operating costs, and an increase in expenses related to pre-commercial activities for VP-102.</w:t>
      </w:r>
    </w:p>
    <w:p>
      <w:pPr>
        <w:spacing w:after="0" w:line="98"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Interest Income</w:t>
      </w:r>
    </w:p>
    <w:p>
      <w:pPr>
        <w:spacing w:after="0" w:line="117" w:lineRule="exact"/>
        <w:rPr>
          <w:sz w:val="20"/>
          <w:szCs w:val="20"/>
          <w:color w:val="auto"/>
        </w:rPr>
      </w:pPr>
    </w:p>
    <w:p>
      <w:pPr>
        <w:ind w:firstLine="510"/>
        <w:spacing w:after="0" w:line="277" w:lineRule="auto"/>
        <w:rPr>
          <w:sz w:val="20"/>
          <w:szCs w:val="20"/>
          <w:color w:val="auto"/>
        </w:rPr>
      </w:pPr>
      <w:r>
        <w:rPr>
          <w:rFonts w:ascii="Arial" w:cs="Arial" w:eastAsia="Arial" w:hAnsi="Arial"/>
          <w:sz w:val="18"/>
          <w:szCs w:val="18"/>
          <w:color w:val="auto"/>
        </w:rPr>
        <w:t>Interest income for the periods presented consisted primarily of interest earned on our cash, cash equivalents and marketable securities. The decrease of $0.3 million was primarily a result of lower interest income due to lower interest rates.</w:t>
      </w:r>
    </w:p>
    <w:p>
      <w:pPr>
        <w:spacing w:after="0" w:line="89"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Interest Expense</w:t>
      </w:r>
    </w:p>
    <w:p>
      <w:pPr>
        <w:spacing w:after="0" w:line="117" w:lineRule="exact"/>
        <w:rPr>
          <w:sz w:val="20"/>
          <w:szCs w:val="20"/>
          <w:color w:val="auto"/>
        </w:rPr>
      </w:pPr>
    </w:p>
    <w:p>
      <w:pPr>
        <w:ind w:right="160" w:firstLine="510"/>
        <w:spacing w:after="0" w:line="277" w:lineRule="auto"/>
        <w:rPr>
          <w:sz w:val="20"/>
          <w:szCs w:val="20"/>
          <w:color w:val="auto"/>
        </w:rPr>
      </w:pPr>
      <w:r>
        <w:rPr>
          <w:rFonts w:ascii="Arial" w:cs="Arial" w:eastAsia="Arial" w:hAnsi="Arial"/>
          <w:sz w:val="18"/>
          <w:szCs w:val="18"/>
          <w:color w:val="auto"/>
        </w:rPr>
        <w:t>Interest expense for the six months ended June 30, 2021 consisted of interest expense on the Mezzanine Loan Agreement as noted in Note 7 to our condensed financial statements.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ind w:right="120" w:firstLine="510"/>
        <w:spacing w:after="0" w:line="263" w:lineRule="auto"/>
        <w:rPr>
          <w:sz w:val="20"/>
          <w:szCs w:val="20"/>
          <w:color w:val="auto"/>
        </w:rPr>
      </w:pPr>
      <w:r>
        <w:rPr>
          <w:rFonts w:ascii="Arial" w:cs="Arial" w:eastAsia="Arial" w:hAnsi="Arial"/>
          <w:sz w:val="18"/>
          <w:szCs w:val="18"/>
          <w:color w:val="auto"/>
        </w:rPr>
        <w:t>Since our inception, we have not generated any revenue from product sales and have incurred net losses and negative cash flows from our operations. We have financed our operations since inception through sales of our convertible preferred stock and the sale of our common stock in our IPO, as well as in a subsequent offering of our common stock noted below, receiving aggregate net proceeds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21" w:name="page22"/>
    <w:bookmarkEnd w:id="21"/>
    <w:p>
      <w:pPr>
        <w:ind w:right="60"/>
        <w:spacing w:after="0" w:line="277" w:lineRule="auto"/>
        <w:rPr>
          <w:sz w:val="20"/>
          <w:szCs w:val="20"/>
          <w:color w:val="auto"/>
        </w:rPr>
      </w:pPr>
      <w:r>
        <w:rPr>
          <w:rFonts w:ascii="Arial" w:cs="Arial" w:eastAsia="Arial" w:hAnsi="Arial"/>
          <w:sz w:val="18"/>
          <w:szCs w:val="18"/>
          <w:color w:val="auto"/>
        </w:rPr>
        <w:t>of $114.9 million from our IPO, $40.0 million of gross proceeds from the Mezzanine Loan Agreement noted below and $28.1 million of net proceeds from our public offering of common stock in March 2021.</w:t>
      </w:r>
    </w:p>
    <w:p>
      <w:pPr>
        <w:spacing w:after="0" w:line="62" w:lineRule="exact"/>
        <w:rPr>
          <w:sz w:val="20"/>
          <w:szCs w:val="20"/>
          <w:color w:val="auto"/>
        </w:rPr>
      </w:pPr>
    </w:p>
    <w:p>
      <w:pPr>
        <w:ind w:firstLine="510"/>
        <w:spacing w:after="0" w:line="277" w:lineRule="auto"/>
        <w:rPr>
          <w:sz w:val="20"/>
          <w:szCs w:val="20"/>
          <w:color w:val="auto"/>
        </w:rPr>
      </w:pPr>
      <w:r>
        <w:rPr>
          <w:rFonts w:ascii="Arial" w:cs="Arial" w:eastAsia="Arial" w:hAnsi="Arial"/>
          <w:sz w:val="18"/>
          <w:szCs w:val="18"/>
          <w:color w:val="auto"/>
        </w:rPr>
        <w:t>As of June 30, 2021, we had cash, cash equivalents and marketable securities of $90.1 million. Cash in excess of immediate requirements is invested in accordance with our investment policy, primarily with a view to liquidity and capital preservation.</w:t>
      </w:r>
    </w:p>
    <w:p>
      <w:pPr>
        <w:spacing w:after="0" w:line="62" w:lineRule="exact"/>
        <w:rPr>
          <w:sz w:val="20"/>
          <w:szCs w:val="20"/>
          <w:color w:val="auto"/>
        </w:rPr>
      </w:pPr>
    </w:p>
    <w:p>
      <w:pPr>
        <w:ind w:right="140" w:firstLine="510"/>
        <w:spacing w:after="0" w:line="308" w:lineRule="auto"/>
        <w:rPr>
          <w:sz w:val="20"/>
          <w:szCs w:val="20"/>
          <w:color w:val="auto"/>
        </w:rPr>
      </w:pPr>
      <w:r>
        <w:rPr>
          <w:rFonts w:ascii="Arial" w:cs="Arial" w:eastAsia="Arial" w:hAnsi="Arial"/>
          <w:sz w:val="17"/>
          <w:szCs w:val="17"/>
          <w:color w:val="auto"/>
        </w:rPr>
        <w:t>On March 25, 2021, we closed a follow-on public offering in which we sold 2,033,899 shares of common stock at a public offering price of $14.75 per share, resulting in net proceeds of $28.1 million after deducting underwriting discounts and commissions and offering expenses.</w:t>
      </w:r>
    </w:p>
    <w:p>
      <w:pPr>
        <w:spacing w:after="0" w:line="38" w:lineRule="exact"/>
        <w:rPr>
          <w:sz w:val="20"/>
          <w:szCs w:val="20"/>
          <w:color w:val="auto"/>
        </w:rPr>
      </w:pPr>
    </w:p>
    <w:p>
      <w:pPr>
        <w:ind w:right="60" w:firstLine="510"/>
        <w:spacing w:after="0" w:line="279" w:lineRule="auto"/>
        <w:rPr>
          <w:sz w:val="20"/>
          <w:szCs w:val="20"/>
          <w:color w:val="auto"/>
        </w:rPr>
      </w:pPr>
      <w:r>
        <w:rPr>
          <w:rFonts w:ascii="Arial" w:cs="Arial" w:eastAsia="Arial" w:hAnsi="Arial"/>
          <w:sz w:val="17"/>
          <w:szCs w:val="17"/>
          <w:color w:val="auto"/>
        </w:rPr>
        <w:t>On March 10, 2020, or the Effective Date, we entered into (i) the Mezzanine Loan Agreement with the Agent, and the Mezzanine Lenders, pursuant to which the Mezzanine Lenders have agreed to lend us up to $50.0 million in a series of term loans, and (ii) the Senior Loan Agreement with the Senior Lender, pursuant to which the Senior Lender has agreed to provide us with a revolving line of credit of up to $5.0 million. Upon entering into the Loan Agreements, we borrowed $35.0 million in term loans from the Mezzanine Lenders, or the Term A Loan.</w:t>
      </w:r>
    </w:p>
    <w:p>
      <w:pPr>
        <w:spacing w:after="0" w:line="171" w:lineRule="exact"/>
        <w:rPr>
          <w:sz w:val="20"/>
          <w:szCs w:val="20"/>
          <w:color w:val="auto"/>
        </w:rPr>
      </w:pPr>
    </w:p>
    <w:p>
      <w:pPr>
        <w:ind w:right="140" w:firstLine="510"/>
        <w:spacing w:after="0" w:line="263" w:lineRule="auto"/>
        <w:rPr>
          <w:sz w:val="20"/>
          <w:szCs w:val="20"/>
          <w:color w:val="auto"/>
        </w:rPr>
      </w:pPr>
      <w:r>
        <w:rPr>
          <w:rFonts w:ascii="Arial" w:cs="Arial" w:eastAsia="Arial" w:hAnsi="Arial"/>
          <w:sz w:val="18"/>
          <w:szCs w:val="18"/>
          <w:color w:val="212529"/>
        </w:rPr>
        <w:t>On October 26, 2020, we entered into (i) the first amendment to the Mezzanine Loan Agreement, or the Mezzanine Loan Amendment and (ii) the first amendment to the Senior Loan Agreement, or the Senior Loan Amendment with the Lenders, under which we borrowed an additional $5.0 million in term loans on March 1, 2021.</w:t>
      </w:r>
    </w:p>
    <w:p>
      <w:pPr>
        <w:spacing w:after="0" w:line="184" w:lineRule="exact"/>
        <w:rPr>
          <w:sz w:val="20"/>
          <w:szCs w:val="20"/>
          <w:color w:val="auto"/>
        </w:rPr>
      </w:pPr>
    </w:p>
    <w:p>
      <w:pPr>
        <w:ind w:right="200" w:firstLine="510"/>
        <w:spacing w:after="0" w:line="259" w:lineRule="auto"/>
        <w:rPr>
          <w:sz w:val="20"/>
          <w:szCs w:val="20"/>
          <w:color w:val="auto"/>
        </w:rPr>
      </w:pPr>
      <w:r>
        <w:rPr>
          <w:rFonts w:ascii="Arial" w:cs="Arial" w:eastAsia="Arial" w:hAnsi="Arial"/>
          <w:sz w:val="18"/>
          <w:szCs w:val="18"/>
          <w:color w:val="212529"/>
        </w:rPr>
        <w:t>Under the terms of the Mezzanine Loan Agreement, as amended, we may, at our sole discretion, borrow from the Mezzanine Lenders up to an additional $10.0 million in term loans, or the Term B2 Loan. The Term B2 Loan will be available for draw if we receive approval from the FDA for VP-102 prior to September 30, 2021 and maintain compliance with the minimum liquidity covenant until the earlier of September 30, 2021 or the occurrence of an event of default.</w:t>
      </w:r>
    </w:p>
    <w:p>
      <w:pPr>
        <w:spacing w:after="0" w:line="187" w:lineRule="exact"/>
        <w:rPr>
          <w:sz w:val="20"/>
          <w:szCs w:val="20"/>
          <w:color w:val="auto"/>
        </w:rPr>
      </w:pPr>
    </w:p>
    <w:p>
      <w:pPr>
        <w:jc w:val="both"/>
        <w:ind w:firstLine="510"/>
        <w:spacing w:after="0" w:line="263" w:lineRule="auto"/>
        <w:rPr>
          <w:sz w:val="20"/>
          <w:szCs w:val="20"/>
          <w:color w:val="auto"/>
        </w:rPr>
      </w:pPr>
      <w:r>
        <w:rPr>
          <w:rFonts w:ascii="Arial" w:cs="Arial" w:eastAsia="Arial" w:hAnsi="Arial"/>
          <w:sz w:val="18"/>
          <w:szCs w:val="18"/>
          <w:color w:val="212529"/>
        </w:rPr>
        <w:t>Under the terms of the Senior Loan Agreement, as amended, we may, at our sole discretion, borrow from the Senior Lender one or more advances on the revolving credit line, or the Revolving Loans, and together with the Term Loans, the Loans) in an aggregate amount not to exceed the lesser of (i) 85% of the aggregate amount then-contained in our eligible accounts receivable and (ii) $5.0 million.</w:t>
      </w:r>
    </w:p>
    <w:p>
      <w:pPr>
        <w:spacing w:after="0" w:line="211" w:lineRule="exact"/>
        <w:rPr>
          <w:sz w:val="20"/>
          <w:szCs w:val="20"/>
          <w:color w:val="auto"/>
        </w:rPr>
      </w:pPr>
    </w:p>
    <w:p>
      <w:pPr>
        <w:ind w:right="360" w:firstLine="510"/>
        <w:spacing w:after="0" w:line="259" w:lineRule="auto"/>
        <w:rPr>
          <w:sz w:val="20"/>
          <w:szCs w:val="20"/>
          <w:color w:val="auto"/>
        </w:rPr>
      </w:pPr>
      <w:r>
        <w:rPr>
          <w:rFonts w:ascii="Arial" w:cs="Arial" w:eastAsia="Arial" w:hAnsi="Arial"/>
          <w:sz w:val="18"/>
          <w:szCs w:val="18"/>
          <w:color w:val="212529"/>
        </w:rPr>
        <w:t>Our obligations under the Senior Loan Agreement and the Mezzanine Loan Agreement, as amended, are secured by, respectively, a first priority perfected security interest and second priority perfected security interest in substantially all of our current and future assets, other than our intellectual property (except rights to payment from the sale, licensing or disposition of such intellectual property). We have also agreed not to encumber our intellectual property assets, except as permitted by the Loan Agreements.</w:t>
      </w:r>
    </w:p>
    <w:p>
      <w:pPr>
        <w:spacing w:after="0" w:line="187" w:lineRule="exact"/>
        <w:rPr>
          <w:sz w:val="20"/>
          <w:szCs w:val="20"/>
          <w:color w:val="auto"/>
        </w:rPr>
      </w:pPr>
    </w:p>
    <w:p>
      <w:pPr>
        <w:ind w:right="80" w:firstLine="510"/>
        <w:spacing w:after="0" w:line="285" w:lineRule="auto"/>
        <w:rPr>
          <w:sz w:val="20"/>
          <w:szCs w:val="20"/>
          <w:color w:val="auto"/>
        </w:rPr>
      </w:pPr>
      <w:r>
        <w:rPr>
          <w:rFonts w:ascii="Arial" w:cs="Arial" w:eastAsia="Arial" w:hAnsi="Arial"/>
          <w:sz w:val="16"/>
          <w:szCs w:val="16"/>
          <w:color w:val="auto"/>
        </w:rPr>
        <w:t>All of the Loans mature on March 1, 2024, or the Maturity Date. The Term Loans will be interest-only through March 31, 2022, followed by 24 equal monthly payments of principal and interest; provided that if we draw the Term B2 Loan, the Term Loans will be interest-only through September 30, 2022, followed by 18 equal monthly payments of principal and interest. The Term Loans will bear interest at a floating per annum rate equal to the greater of (i) 7.25% and (ii) the sum of (a) the prime rate reported in The Wall Street Journal on the last business day of the month that immediately precedes the month in which the interest will accrue, plus (b) 2.50%. The Revolving Loans will bear interest at a floating per annum rate equal to the greater of</w:t>
      </w:r>
    </w:p>
    <w:p>
      <w:pPr>
        <w:spacing w:after="0" w:line="2" w:lineRule="exact"/>
        <w:rPr>
          <w:sz w:val="20"/>
          <w:szCs w:val="20"/>
          <w:color w:val="auto"/>
        </w:rPr>
      </w:pPr>
    </w:p>
    <w:p>
      <w:pPr>
        <w:ind w:right="400" w:firstLine="8"/>
        <w:spacing w:after="0" w:line="260" w:lineRule="auto"/>
        <w:tabs>
          <w:tab w:leader="none" w:pos="215" w:val="left"/>
        </w:tabs>
        <w:numPr>
          <w:ilvl w:val="0"/>
          <w:numId w:val="9"/>
        </w:numPr>
        <w:rPr>
          <w:rFonts w:ascii="Arial" w:cs="Arial" w:eastAsia="Arial" w:hAnsi="Arial"/>
          <w:sz w:val="18"/>
          <w:szCs w:val="18"/>
          <w:color w:val="auto"/>
        </w:rPr>
      </w:pPr>
      <w:r>
        <w:rPr>
          <w:rFonts w:ascii="Arial" w:cs="Arial" w:eastAsia="Arial" w:hAnsi="Arial"/>
          <w:sz w:val="18"/>
          <w:szCs w:val="18"/>
          <w:color w:val="auto"/>
        </w:rPr>
        <w:t>6.00% and (ii) the sum of (a) the prime rate reported in The Wall Street Journal on the last business day of the month that immediately precedes the month in which the interest will accrue, plus (b) 1.25%.</w:t>
      </w:r>
    </w:p>
    <w:p>
      <w:pPr>
        <w:spacing w:after="0" w:line="185" w:lineRule="exact"/>
        <w:rPr>
          <w:sz w:val="20"/>
          <w:szCs w:val="20"/>
          <w:color w:val="auto"/>
        </w:rPr>
      </w:pPr>
    </w:p>
    <w:p>
      <w:pPr>
        <w:ind w:right="60" w:firstLine="510"/>
        <w:spacing w:after="0" w:line="293" w:lineRule="auto"/>
        <w:rPr>
          <w:sz w:val="20"/>
          <w:szCs w:val="20"/>
          <w:color w:val="auto"/>
        </w:rPr>
      </w:pPr>
      <w:r>
        <w:rPr>
          <w:rFonts w:ascii="Arial" w:cs="Arial" w:eastAsia="Arial" w:hAnsi="Arial"/>
          <w:sz w:val="16"/>
          <w:szCs w:val="16"/>
          <w:color w:val="auto"/>
        </w:rPr>
        <w:t>Under the terms of the Mezzanine Loan Agreement, as amended, we will be required to make a final payment fee of $3,750,000 payable on the earlier of (i) the Maturity Date, (ii) the acceleration of any Term Loans, or (iii) the prepayment of the Term Loans, or the Final Payment. We are recording the final payment fee using the effective interest rate method over the term of the Term Loan with an increase in debt. We may prepay all, or any portion of the Term Loans upon 5 business days advance written notice to the Agent, provided that we will be obligated to pay a prepayment fee equal to (i) $1.5 million if prepaid on or before October 26, 2021, (ii) $1.0 million if prepaid between October 27, 2021 and October 26, 2022, and (iii) $0.5 million if prepaid between October 27, 2022 and October 26, 2023 and (iv) no prepayment fee if prepaid after October 26, 2023, each, a Prepayment Fee.</w:t>
      </w:r>
    </w:p>
    <w:p>
      <w:pPr>
        <w:spacing w:after="0" w:line="164" w:lineRule="exact"/>
        <w:rPr>
          <w:sz w:val="20"/>
          <w:szCs w:val="20"/>
          <w:color w:val="auto"/>
        </w:rPr>
      </w:pPr>
    </w:p>
    <w:p>
      <w:pPr>
        <w:ind w:right="20" w:firstLine="510"/>
        <w:spacing w:after="0" w:line="263" w:lineRule="auto"/>
        <w:rPr>
          <w:sz w:val="20"/>
          <w:szCs w:val="20"/>
          <w:color w:val="auto"/>
        </w:rPr>
      </w:pPr>
      <w:r>
        <w:rPr>
          <w:rFonts w:ascii="Arial" w:cs="Arial" w:eastAsia="Arial" w:hAnsi="Arial"/>
          <w:sz w:val="18"/>
          <w:szCs w:val="18"/>
          <w:color w:val="auto"/>
        </w:rPr>
        <w:t>We may terminate the revolving credit line under the Senior Loan Agreement at any time upon three business days advance written notice to the Senior Lender. If we terminate the revolving credit line prior to the Maturity Date, we must pay to the Senior Lender an early termination fee of $50,000, or the Termination Fee.</w:t>
      </w:r>
    </w:p>
    <w:p>
      <w:pPr>
        <w:spacing w:after="0" w:line="184" w:lineRule="exact"/>
        <w:rPr>
          <w:sz w:val="20"/>
          <w:szCs w:val="20"/>
          <w:color w:val="auto"/>
        </w:rPr>
      </w:pPr>
    </w:p>
    <w:p>
      <w:pPr>
        <w:ind w:right="220" w:firstLine="510"/>
        <w:spacing w:after="0" w:line="263" w:lineRule="auto"/>
        <w:rPr>
          <w:sz w:val="20"/>
          <w:szCs w:val="20"/>
          <w:color w:val="auto"/>
        </w:rPr>
      </w:pPr>
      <w:r>
        <w:rPr>
          <w:rFonts w:ascii="Arial" w:cs="Arial" w:eastAsia="Arial" w:hAnsi="Arial"/>
          <w:sz w:val="18"/>
          <w:szCs w:val="18"/>
          <w:color w:val="auto"/>
        </w:rPr>
        <w:t>Under the Loan Agreements, as amended, we are subject to a number of affirmative and restrictive covenants, including covenants regarding maintaining a specified minimum liquidity ratio, delivery of financial statements, maintenance of inventory, payment of taxes, maintenance of insurance, protection of intellectual property rights, dispositions of property, business combinations</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22" w:name="page23"/>
    <w:bookmarkEnd w:id="22"/>
    <w:p>
      <w:pPr>
        <w:ind w:right="100"/>
        <w:spacing w:after="0" w:line="263" w:lineRule="auto"/>
        <w:rPr>
          <w:sz w:val="20"/>
          <w:szCs w:val="20"/>
          <w:color w:val="auto"/>
        </w:rPr>
      </w:pPr>
      <w:r>
        <w:rPr>
          <w:rFonts w:ascii="Arial" w:cs="Arial" w:eastAsia="Arial" w:hAnsi="Arial"/>
          <w:sz w:val="18"/>
          <w:szCs w:val="18"/>
          <w:color w:val="auto"/>
        </w:rPr>
        <w:t>or acquisitions, incurrence of additional indebtedness or liens, investments and transactions with affiliates, and, beginning as of March 31, 2022, achieving minimum levels of trailing six-month net product revenues, among other customary covenants. As of June 30, 2021, we were in compliance with all covenants.</w:t>
      </w:r>
    </w:p>
    <w:p>
      <w:pPr>
        <w:spacing w:after="0" w:line="76" w:lineRule="exact"/>
        <w:rPr>
          <w:sz w:val="20"/>
          <w:szCs w:val="20"/>
          <w:color w:val="auto"/>
        </w:rPr>
      </w:pPr>
    </w:p>
    <w:p>
      <w:pPr>
        <w:ind w:right="40" w:firstLine="510"/>
        <w:spacing w:after="0" w:line="273" w:lineRule="auto"/>
        <w:rPr>
          <w:sz w:val="20"/>
          <w:szCs w:val="20"/>
          <w:color w:val="auto"/>
        </w:rPr>
      </w:pPr>
      <w:r>
        <w:rPr>
          <w:rFonts w:ascii="Arial" w:cs="Arial" w:eastAsia="Arial" w:hAnsi="Arial"/>
          <w:sz w:val="17"/>
          <w:szCs w:val="17"/>
          <w:color w:val="auto"/>
        </w:rPr>
        <w:t>Upon the occurrence of certain events, including but not limited to our failure to satisfy our payment obligations under the Loan Agreements, the breach of certain of our other covenants under the Loan Agreements, or the occurrence of a material adverse change, cross defaults to other indebtedness or material agreements, judgment defaults and defaults related to failure to maintain governmental approvals failure of which to maintain could result in a material adverse effect, the Agent and the Lenders will have the right, among other remedies, to declare all principal and interest immediately due and payable, to exercise secured party remedies, to receive the Final Payment and Termination Fee and, if the payment of principal and interest is due prior to the Maturity Date, to receive the applicable Prepayment Fee.</w:t>
      </w:r>
    </w:p>
    <w:p>
      <w:pPr>
        <w:spacing w:after="0" w:line="178" w:lineRule="exact"/>
        <w:rPr>
          <w:sz w:val="20"/>
          <w:szCs w:val="20"/>
          <w:color w:val="auto"/>
        </w:rPr>
      </w:pPr>
    </w:p>
    <w:p>
      <w:pPr>
        <w:jc w:val="both"/>
        <w:ind w:firstLine="510"/>
        <w:spacing w:after="0" w:line="255" w:lineRule="auto"/>
        <w:rPr>
          <w:sz w:val="20"/>
          <w:szCs w:val="20"/>
          <w:color w:val="auto"/>
        </w:rPr>
      </w:pPr>
      <w:r>
        <w:rPr>
          <w:rFonts w:ascii="Arial" w:cs="Arial" w:eastAsia="Arial" w:hAnsi="Arial"/>
          <w:sz w:val="18"/>
          <w:szCs w:val="18"/>
          <w:color w:val="auto"/>
        </w:rPr>
        <w:t>We believe that without additional financing, it is probable that we will not be in compliance with the minimum liquidity ratio covenant at some point in the next twelve months. In accordance with FASB ASC 470, since the Mezzanine Loan Agreement contains subjective acceleration clauses and assessment that it is probable that the minimum liquidity ratio covenant will not be met, we have classified all outstanding principal and final payment fees as a current liability in the accompanying balance sheet as of June 30, 2021. Even if we are not in compliance with the minimum liquidity covenant and the debt becomes due, we believe that we currently have sufficient funds to meet our operating requirements for at least the next twelve months from the issuance of these financial statements.</w:t>
      </w:r>
    </w:p>
    <w:p>
      <w:pPr>
        <w:spacing w:after="0" w:line="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11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summarizes our cash flows for the six months ended June 30, 2021 and 2020 (in thousands):</w:t>
      </w:r>
    </w:p>
    <w:p>
      <w:pPr>
        <w:spacing w:after="0" w:line="230" w:lineRule="exact"/>
        <w:rPr>
          <w:sz w:val="20"/>
          <w:szCs w:val="20"/>
          <w:color w:val="auto"/>
        </w:rPr>
      </w:pPr>
    </w:p>
    <w:tbl>
      <w:tblPr>
        <w:tblLayout w:type="fixed"/>
        <w:tblInd w:w="1700" w:type="dxa"/>
        <w:tblCellMar>
          <w:top w:w="0" w:type="dxa"/>
          <w:left w:w="0" w:type="dxa"/>
          <w:bottom w:w="0" w:type="dxa"/>
          <w:right w:w="0" w:type="dxa"/>
        </w:tblCellMar>
      </w:tblPr>
      <w:tr>
        <w:trPr>
          <w:trHeight w:val="171"/>
        </w:trPr>
        <w:tc>
          <w:tcPr>
            <w:tcW w:w="50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660" w:type="dxa"/>
            <w:vAlign w:val="bottom"/>
            <w:gridSpan w:val="6"/>
          </w:tcPr>
          <w:p>
            <w:pPr>
              <w:ind w:left="100"/>
              <w:spacing w:after="0"/>
              <w:rPr>
                <w:sz w:val="20"/>
                <w:szCs w:val="20"/>
                <w:color w:val="auto"/>
              </w:rPr>
            </w:pPr>
            <w:r>
              <w:rPr>
                <w:rFonts w:ascii="Arial" w:cs="Arial" w:eastAsia="Arial" w:hAnsi="Arial"/>
                <w:sz w:val="14"/>
                <w:szCs w:val="14"/>
                <w:b w:val="1"/>
                <w:bCs w:val="1"/>
                <w:color w:val="auto"/>
              </w:rPr>
              <w:t>For the Six Months Ended June 30,</w:t>
            </w:r>
          </w:p>
        </w:tc>
      </w:tr>
      <w:tr>
        <w:trPr>
          <w:trHeight w:val="155"/>
        </w:trPr>
        <w:tc>
          <w:tcPr>
            <w:tcW w:w="5020" w:type="dxa"/>
            <w:vAlign w:val="bottom"/>
            <w:tcBorders>
              <w:bottom w:val="single" w:sz="8" w:color="CFF0FC"/>
            </w:tcBorders>
          </w:tcPr>
          <w:p>
            <w:pPr>
              <w:spacing w:after="0"/>
              <w:rPr>
                <w:sz w:val="13"/>
                <w:szCs w:val="13"/>
                <w:color w:val="auto"/>
              </w:rPr>
            </w:pPr>
          </w:p>
        </w:tc>
        <w:tc>
          <w:tcPr>
            <w:tcW w:w="180" w:type="dxa"/>
            <w:vAlign w:val="bottom"/>
            <w:tcBorders>
              <w:top w:val="single" w:sz="8" w:color="auto"/>
              <w:bottom w:val="single" w:sz="8" w:color="auto"/>
            </w:tcBorders>
          </w:tcPr>
          <w:p>
            <w:pPr>
              <w:spacing w:after="0"/>
              <w:rPr>
                <w:sz w:val="13"/>
                <w:szCs w:val="13"/>
                <w:color w:val="auto"/>
              </w:rPr>
            </w:pPr>
          </w:p>
        </w:tc>
        <w:tc>
          <w:tcPr>
            <w:tcW w:w="1080" w:type="dxa"/>
            <w:vAlign w:val="bottom"/>
            <w:tcBorders>
              <w:top w:val="single" w:sz="8" w:color="auto"/>
              <w:bottom w:val="single" w:sz="8" w:color="auto"/>
            </w:tcBorders>
          </w:tcPr>
          <w:p>
            <w:pPr>
              <w:jc w:val="right"/>
              <w:ind w:right="416"/>
              <w:spacing w:after="0" w:line="155" w:lineRule="exact"/>
              <w:rPr>
                <w:sz w:val="20"/>
                <w:szCs w:val="20"/>
                <w:color w:val="auto"/>
              </w:rPr>
            </w:pPr>
            <w:r>
              <w:rPr>
                <w:rFonts w:ascii="Arial" w:cs="Arial" w:eastAsia="Arial" w:hAnsi="Arial"/>
                <w:sz w:val="14"/>
                <w:szCs w:val="14"/>
                <w:b w:val="1"/>
                <w:bCs w:val="1"/>
                <w:color w:val="auto"/>
              </w:rPr>
              <w:t>2021</w:t>
            </w:r>
          </w:p>
        </w:tc>
        <w:tc>
          <w:tcPr>
            <w:tcW w:w="220" w:type="dxa"/>
            <w:vAlign w:val="bottom"/>
            <w:tcBorders>
              <w:top w:val="single" w:sz="8" w:color="auto"/>
              <w:bottom w:val="single" w:sz="8" w:color="CFF0FC"/>
            </w:tcBorders>
          </w:tcPr>
          <w:p>
            <w:pPr>
              <w:spacing w:after="0"/>
              <w:rPr>
                <w:sz w:val="13"/>
                <w:szCs w:val="13"/>
                <w:color w:val="auto"/>
              </w:rPr>
            </w:pPr>
          </w:p>
        </w:tc>
        <w:tc>
          <w:tcPr>
            <w:tcW w:w="20" w:type="dxa"/>
            <w:vAlign w:val="bottom"/>
            <w:tcBorders>
              <w:top w:val="single" w:sz="8" w:color="auto"/>
              <w:bottom w:val="single" w:sz="8" w:color="CFF0FC"/>
            </w:tcBorders>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1000" w:type="dxa"/>
            <w:vAlign w:val="bottom"/>
            <w:tcBorders>
              <w:top w:val="single" w:sz="8" w:color="auto"/>
              <w:bottom w:val="single" w:sz="8" w:color="auto"/>
            </w:tcBorders>
          </w:tcPr>
          <w:p>
            <w:pPr>
              <w:jc w:val="right"/>
              <w:ind w:right="414"/>
              <w:spacing w:after="0" w:line="155" w:lineRule="exact"/>
              <w:rPr>
                <w:sz w:val="20"/>
                <w:szCs w:val="20"/>
                <w:color w:val="auto"/>
              </w:rPr>
            </w:pPr>
            <w:r>
              <w:rPr>
                <w:rFonts w:ascii="Arial" w:cs="Arial" w:eastAsia="Arial" w:hAnsi="Arial"/>
                <w:sz w:val="14"/>
                <w:szCs w:val="14"/>
                <w:b w:val="1"/>
                <w:bCs w:val="1"/>
                <w:color w:val="auto"/>
              </w:rPr>
              <w:t>2020</w:t>
            </w:r>
          </w:p>
        </w:tc>
        <w:tc>
          <w:tcPr>
            <w:tcW w:w="80" w:type="dxa"/>
            <w:vAlign w:val="bottom"/>
            <w:tcBorders>
              <w:bottom w:val="single" w:sz="8" w:color="CFF0FC"/>
            </w:tcBorders>
          </w:tcPr>
          <w:p>
            <w:pPr>
              <w:spacing w:after="0"/>
              <w:rPr>
                <w:sz w:val="13"/>
                <w:szCs w:val="13"/>
                <w:color w:val="auto"/>
              </w:rPr>
            </w:pPr>
          </w:p>
        </w:tc>
      </w:tr>
      <w:tr>
        <w:trPr>
          <w:trHeight w:val="223"/>
        </w:trPr>
        <w:tc>
          <w:tcPr>
            <w:tcW w:w="5020" w:type="dxa"/>
            <w:vAlign w:val="bottom"/>
            <w:shd w:val="clear" w:color="auto" w:fill="CFF0FC"/>
          </w:tcPr>
          <w:p>
            <w:pPr>
              <w:spacing w:after="0"/>
              <w:rPr>
                <w:sz w:val="20"/>
                <w:szCs w:val="20"/>
                <w:color w:val="auto"/>
              </w:rPr>
            </w:pPr>
            <w:r>
              <w:rPr>
                <w:rFonts w:ascii="Arial" w:cs="Arial" w:eastAsia="Arial" w:hAnsi="Arial"/>
                <w:sz w:val="18"/>
                <w:szCs w:val="18"/>
                <w:color w:val="auto"/>
              </w:rPr>
              <w:t>Net cash used in operating activities</w:t>
            </w:r>
          </w:p>
        </w:tc>
        <w:tc>
          <w:tcPr>
            <w:tcW w:w="180" w:type="dxa"/>
            <w:vAlign w:val="bottom"/>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(8,286)</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60" w:type="dxa"/>
            <w:vAlign w:val="bottom"/>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(16,500)</w:t>
            </w:r>
          </w:p>
        </w:tc>
        <w:tc>
          <w:tcPr>
            <w:tcW w:w="80" w:type="dxa"/>
            <w:vAlign w:val="bottom"/>
            <w:shd w:val="clear" w:color="auto" w:fill="CFF0FC"/>
          </w:tcPr>
          <w:p>
            <w:pPr>
              <w:spacing w:after="0"/>
              <w:rPr>
                <w:sz w:val="19"/>
                <w:szCs w:val="19"/>
                <w:color w:val="auto"/>
              </w:rPr>
            </w:pPr>
          </w:p>
        </w:tc>
      </w:tr>
      <w:tr>
        <w:trPr>
          <w:trHeight w:val="229"/>
        </w:trPr>
        <w:tc>
          <w:tcPr>
            <w:tcW w:w="5020" w:type="dxa"/>
            <w:vAlign w:val="bottom"/>
          </w:tcPr>
          <w:p>
            <w:pPr>
              <w:spacing w:after="0"/>
              <w:rPr>
                <w:sz w:val="20"/>
                <w:szCs w:val="20"/>
                <w:color w:val="auto"/>
              </w:rPr>
            </w:pPr>
            <w:r>
              <w:rPr>
                <w:rFonts w:ascii="Arial" w:cs="Arial" w:eastAsia="Arial" w:hAnsi="Arial"/>
                <w:sz w:val="18"/>
                <w:szCs w:val="18"/>
                <w:color w:val="auto"/>
              </w:rPr>
              <w:t>Net cash (used in) provided by investing activities</w:t>
            </w:r>
          </w:p>
        </w:tc>
        <w:tc>
          <w:tcPr>
            <w:tcW w:w="180" w:type="dxa"/>
            <w:vAlign w:val="bottom"/>
          </w:tcPr>
          <w:p>
            <w:pPr>
              <w:spacing w:after="0"/>
              <w:rPr>
                <w:sz w:val="19"/>
                <w:szCs w:val="19"/>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(11,300)</w:t>
            </w: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21,404</w:t>
            </w:r>
          </w:p>
        </w:tc>
        <w:tc>
          <w:tcPr>
            <w:tcW w:w="80" w:type="dxa"/>
            <w:vAlign w:val="bottom"/>
          </w:tcPr>
          <w:p>
            <w:pPr>
              <w:spacing w:after="0"/>
              <w:rPr>
                <w:sz w:val="19"/>
                <w:szCs w:val="19"/>
                <w:color w:val="auto"/>
              </w:rPr>
            </w:pPr>
          </w:p>
        </w:tc>
      </w:tr>
      <w:tr>
        <w:trPr>
          <w:trHeight w:val="229"/>
        </w:trPr>
        <w:tc>
          <w:tcPr>
            <w:tcW w:w="5020" w:type="dxa"/>
            <w:vAlign w:val="bottom"/>
            <w:shd w:val="clear" w:color="auto" w:fill="CFF0FC"/>
          </w:tcPr>
          <w:p>
            <w:pPr>
              <w:spacing w:after="0"/>
              <w:rPr>
                <w:sz w:val="20"/>
                <w:szCs w:val="20"/>
                <w:color w:val="auto"/>
              </w:rPr>
            </w:pPr>
            <w:r>
              <w:rPr>
                <w:rFonts w:ascii="Arial" w:cs="Arial" w:eastAsia="Arial" w:hAnsi="Arial"/>
                <w:sz w:val="18"/>
                <w:szCs w:val="18"/>
                <w:color w:val="auto"/>
              </w:rPr>
              <w:t>Net cash provided by financing activities</w:t>
            </w:r>
          </w:p>
        </w:tc>
        <w:tc>
          <w:tcPr>
            <w:tcW w:w="18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33,606</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34,787</w:t>
            </w:r>
          </w:p>
        </w:tc>
        <w:tc>
          <w:tcPr>
            <w:tcW w:w="80" w:type="dxa"/>
            <w:vAlign w:val="bottom"/>
            <w:shd w:val="clear" w:color="auto" w:fill="CFF0FC"/>
          </w:tcPr>
          <w:p>
            <w:pPr>
              <w:spacing w:after="0"/>
              <w:rPr>
                <w:sz w:val="19"/>
                <w:szCs w:val="19"/>
                <w:color w:val="auto"/>
              </w:rPr>
            </w:pPr>
          </w:p>
        </w:tc>
      </w:tr>
      <w:tr>
        <w:trPr>
          <w:trHeight w:val="223"/>
        </w:trPr>
        <w:tc>
          <w:tcPr>
            <w:tcW w:w="5020" w:type="dxa"/>
            <w:vAlign w:val="bottom"/>
          </w:tcPr>
          <w:p>
            <w:pPr>
              <w:spacing w:after="0"/>
              <w:rPr>
                <w:sz w:val="20"/>
                <w:szCs w:val="20"/>
                <w:color w:val="auto"/>
              </w:rPr>
            </w:pPr>
            <w:r>
              <w:rPr>
                <w:rFonts w:ascii="Arial" w:cs="Arial" w:eastAsia="Arial" w:hAnsi="Arial"/>
                <w:sz w:val="18"/>
                <w:szCs w:val="18"/>
                <w:color w:val="auto"/>
              </w:rPr>
              <w:t>Net increase in cash and cash equivalents</w:t>
            </w:r>
          </w:p>
        </w:tc>
        <w:tc>
          <w:tcPr>
            <w:tcW w:w="180" w:type="dxa"/>
            <w:vAlign w:val="bottom"/>
            <w:tcBorders>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14,020</w:t>
            </w:r>
          </w:p>
        </w:tc>
        <w:tc>
          <w:tcPr>
            <w:tcW w:w="2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jc w:val="right"/>
              <w:ind w:right="107"/>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39,691</w:t>
            </w:r>
          </w:p>
        </w:tc>
        <w:tc>
          <w:tcPr>
            <w:tcW w:w="80" w:type="dxa"/>
            <w:vAlign w:val="bottom"/>
          </w:tcPr>
          <w:p>
            <w:pPr>
              <w:spacing w:after="0"/>
              <w:rPr>
                <w:sz w:val="19"/>
                <w:szCs w:val="19"/>
                <w:color w:val="auto"/>
              </w:rPr>
            </w:pPr>
          </w:p>
        </w:tc>
      </w:tr>
      <w:tr>
        <w:trPr>
          <w:trHeight w:val="20"/>
        </w:trPr>
        <w:tc>
          <w:tcPr>
            <w:tcW w:w="50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34"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Operating Activities</w:t>
      </w:r>
    </w:p>
    <w:p>
      <w:pPr>
        <w:spacing w:after="0" w:line="225" w:lineRule="exact"/>
        <w:rPr>
          <w:sz w:val="20"/>
          <w:szCs w:val="20"/>
          <w:color w:val="auto"/>
        </w:rPr>
      </w:pPr>
    </w:p>
    <w:p>
      <w:pPr>
        <w:ind w:right="60" w:firstLine="510"/>
        <w:spacing w:after="0" w:line="259" w:lineRule="auto"/>
        <w:rPr>
          <w:sz w:val="20"/>
          <w:szCs w:val="20"/>
          <w:color w:val="auto"/>
        </w:rPr>
      </w:pPr>
      <w:r>
        <w:rPr>
          <w:rFonts w:ascii="Arial" w:cs="Arial" w:eastAsia="Arial" w:hAnsi="Arial"/>
          <w:sz w:val="18"/>
          <w:szCs w:val="18"/>
          <w:color w:val="auto"/>
        </w:rPr>
        <w:t>During the six months ended June 30, 2021, operating activities used $8.3 million of cash, primarily resulting from a net loss of $12.7 million partially offset by non-cash stock-based compensation of $3.2 million and non-cash interest expense of $0.7 million. Net cash provided by changes in operating assets and liabilities consisted primarily of an increase in accounts payable and accrued expenses of $0.7 million, partially offset by a decrease in deferred revenue of $0.5 million.</w:t>
      </w:r>
    </w:p>
    <w:p>
      <w:pPr>
        <w:spacing w:after="0" w:line="79" w:lineRule="exact"/>
        <w:rPr>
          <w:sz w:val="20"/>
          <w:szCs w:val="20"/>
          <w:color w:val="auto"/>
        </w:rPr>
      </w:pPr>
    </w:p>
    <w:p>
      <w:pPr>
        <w:ind w:right="140" w:firstLine="510"/>
        <w:spacing w:after="0" w:line="259" w:lineRule="auto"/>
        <w:rPr>
          <w:sz w:val="20"/>
          <w:szCs w:val="20"/>
          <w:color w:val="auto"/>
        </w:rPr>
      </w:pPr>
      <w:r>
        <w:rPr>
          <w:rFonts w:ascii="Arial" w:cs="Arial" w:eastAsia="Arial" w:hAnsi="Arial"/>
          <w:sz w:val="18"/>
          <w:szCs w:val="18"/>
          <w:color w:val="auto"/>
        </w:rPr>
        <w:t>During the six months ended June 30, 2020, operating activities used $16.5 million of cash, primarily resulting from a net loss of $19.2 million partially offset by non-cash stock-based compensation of $2.3 million. Net cash provided by changes in operating assets and liabilities consisted primarily of an increase in prepaid expenses and other assets of $0.7 million, partially offset by an increase in accrued expenses and other current liabilities of $0.8 million.</w:t>
      </w:r>
    </w:p>
    <w:p>
      <w:pPr>
        <w:spacing w:after="0" w:line="79"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Investing Activities</w:t>
      </w:r>
    </w:p>
    <w:p>
      <w:pPr>
        <w:spacing w:after="0" w:line="117" w:lineRule="exact"/>
        <w:rPr>
          <w:sz w:val="20"/>
          <w:szCs w:val="20"/>
          <w:color w:val="auto"/>
        </w:rPr>
      </w:pPr>
    </w:p>
    <w:p>
      <w:pPr>
        <w:ind w:right="400" w:firstLine="510"/>
        <w:spacing w:after="0" w:line="277" w:lineRule="auto"/>
        <w:rPr>
          <w:sz w:val="20"/>
          <w:szCs w:val="20"/>
          <w:color w:val="auto"/>
        </w:rPr>
      </w:pPr>
      <w:r>
        <w:rPr>
          <w:rFonts w:ascii="Arial" w:cs="Arial" w:eastAsia="Arial" w:hAnsi="Arial"/>
          <w:sz w:val="18"/>
          <w:szCs w:val="18"/>
          <w:color w:val="auto"/>
        </w:rPr>
        <w:t>During the six months ended June 30, 2021, net cash used by investing activities of $11.3 million was primarily due to purchases of marketable securities of $46.2 million partially offset by sales and maturities of marketable securities of $35.6 million.</w:t>
      </w:r>
    </w:p>
    <w:p>
      <w:pPr>
        <w:spacing w:after="0" w:line="62" w:lineRule="exact"/>
        <w:rPr>
          <w:sz w:val="20"/>
          <w:szCs w:val="20"/>
          <w:color w:val="auto"/>
        </w:rPr>
      </w:pPr>
    </w:p>
    <w:p>
      <w:pPr>
        <w:ind w:right="220" w:firstLine="510"/>
        <w:spacing w:after="0" w:line="277" w:lineRule="auto"/>
        <w:rPr>
          <w:sz w:val="20"/>
          <w:szCs w:val="20"/>
          <w:color w:val="auto"/>
        </w:rPr>
      </w:pPr>
      <w:r>
        <w:rPr>
          <w:rFonts w:ascii="Arial" w:cs="Arial" w:eastAsia="Arial" w:hAnsi="Arial"/>
          <w:sz w:val="18"/>
          <w:szCs w:val="18"/>
          <w:color w:val="auto"/>
        </w:rPr>
        <w:t>During the six months ended June 30, 2020, net cash provided by investing activities of $21.4 million was primarily due to sales and maturities of marketable securities of $44.4 million, partially offset by purchases of marketable securities of $22.1 million.</w:t>
      </w:r>
    </w:p>
    <w:p>
      <w:pPr>
        <w:spacing w:after="0" w:line="278"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Financing Activities</w:t>
      </w:r>
    </w:p>
    <w:p>
      <w:pPr>
        <w:spacing w:after="0" w:line="117" w:lineRule="exact"/>
        <w:rPr>
          <w:sz w:val="20"/>
          <w:szCs w:val="20"/>
          <w:color w:val="auto"/>
        </w:rPr>
      </w:pPr>
    </w:p>
    <w:p>
      <w:pPr>
        <w:ind w:right="520" w:firstLine="510"/>
        <w:spacing w:after="0" w:line="308" w:lineRule="auto"/>
        <w:rPr>
          <w:sz w:val="20"/>
          <w:szCs w:val="20"/>
          <w:color w:val="auto"/>
        </w:rPr>
      </w:pPr>
      <w:r>
        <w:rPr>
          <w:rFonts w:ascii="Arial" w:cs="Arial" w:eastAsia="Arial" w:hAnsi="Arial"/>
          <w:sz w:val="17"/>
          <w:szCs w:val="17"/>
          <w:color w:val="auto"/>
        </w:rPr>
        <w:t>During the six months ended June 30, 2021, net cash provided by financing activities of $33.6 million was primarily due to proceeds of $28.1 million, net of issuance costs, from the issuance of common stock and proceeds of $5.0 million from the issuance of debt.</w:t>
      </w:r>
    </w:p>
    <w:p>
      <w:pPr>
        <w:spacing w:after="0" w:line="38" w:lineRule="exact"/>
        <w:rPr>
          <w:sz w:val="20"/>
          <w:szCs w:val="20"/>
          <w:color w:val="auto"/>
        </w:rPr>
      </w:pPr>
    </w:p>
    <w:p>
      <w:pPr>
        <w:ind w:right="500" w:firstLine="510"/>
        <w:spacing w:after="0" w:line="277" w:lineRule="auto"/>
        <w:rPr>
          <w:sz w:val="20"/>
          <w:szCs w:val="20"/>
          <w:color w:val="auto"/>
        </w:rPr>
      </w:pPr>
      <w:r>
        <w:rPr>
          <w:rFonts w:ascii="Arial" w:cs="Arial" w:eastAsia="Arial" w:hAnsi="Arial"/>
          <w:sz w:val="18"/>
          <w:szCs w:val="18"/>
          <w:color w:val="auto"/>
        </w:rPr>
        <w:t>During the six months ended June 30, 2020, net cash provided by financing activities of $34.8 million was primarily due to the proceeds from issuance of debt of $34.5 million, net of third-party fees and issuance costs.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Funding Requirements</w:t>
      </w:r>
    </w:p>
    <w:p>
      <w:pPr>
        <w:spacing w:after="0" w:line="117" w:lineRule="exact"/>
        <w:rPr>
          <w:sz w:val="20"/>
          <w:szCs w:val="20"/>
          <w:color w:val="auto"/>
        </w:rPr>
      </w:pPr>
    </w:p>
    <w:p>
      <w:pPr>
        <w:ind w:right="40" w:firstLine="510"/>
        <w:spacing w:after="0" w:line="277" w:lineRule="auto"/>
        <w:rPr>
          <w:sz w:val="20"/>
          <w:szCs w:val="20"/>
          <w:color w:val="auto"/>
        </w:rPr>
      </w:pPr>
      <w:r>
        <w:rPr>
          <w:rFonts w:ascii="Arial" w:cs="Arial" w:eastAsia="Arial" w:hAnsi="Arial"/>
          <w:sz w:val="18"/>
          <w:szCs w:val="18"/>
          <w:color w:val="auto"/>
        </w:rPr>
        <w:t>We expect our expenses to increase in connection with our ongoing activities, particularly as we continue the research and development of, continue or initiate clinical trials of, and seek marketing approval for, our product candidates. In addition, if we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23" w:name="page24"/>
    <w:bookmarkEnd w:id="23"/>
    <w:p>
      <w:pPr>
        <w:ind w:right="20"/>
        <w:spacing w:after="0" w:line="279" w:lineRule="auto"/>
        <w:rPr>
          <w:sz w:val="20"/>
          <w:szCs w:val="20"/>
          <w:color w:val="auto"/>
        </w:rPr>
      </w:pPr>
      <w:r>
        <w:rPr>
          <w:rFonts w:ascii="Arial" w:cs="Arial" w:eastAsia="Arial" w:hAnsi="Arial"/>
          <w:sz w:val="17"/>
          <w:szCs w:val="17"/>
          <w:color w:val="auto"/>
        </w:rPr>
        <w:t>obtain marketing approval for any of our product candidates, we expect to incur significant commercialization expenses related to sales, marketing, manufacturing and distribution. Furthermore, we expect to incur additional costs associated with operating as a public company. Accordingly, we may need to obtain additional funding in connection with our continuing operations. If we are unable to raise capital when needed or on attractive terms, we would be forced to delay, reduce or eliminate our research and development programs or future commercialization efforts.</w:t>
      </w:r>
    </w:p>
    <w:p>
      <w:pPr>
        <w:spacing w:after="0" w:line="63" w:lineRule="exact"/>
        <w:rPr>
          <w:sz w:val="20"/>
          <w:szCs w:val="20"/>
          <w:color w:val="auto"/>
        </w:rPr>
      </w:pPr>
    </w:p>
    <w:p>
      <w:pPr>
        <w:ind w:right="780" w:firstLine="510"/>
        <w:spacing w:after="0" w:line="308" w:lineRule="auto"/>
        <w:rPr>
          <w:sz w:val="20"/>
          <w:szCs w:val="20"/>
          <w:color w:val="auto"/>
        </w:rPr>
      </w:pPr>
      <w:r>
        <w:rPr>
          <w:rFonts w:ascii="Arial" w:cs="Arial" w:eastAsia="Arial" w:hAnsi="Arial"/>
          <w:sz w:val="17"/>
          <w:szCs w:val="17"/>
          <w:color w:val="auto"/>
        </w:rPr>
        <w:t>We believe that our existing cash, cash equivalents, and marketable securities as of June 30, 2021 will be sufficient to support our planned operations at least into the first quarter of 2023. Our future capital requirements will depend on many factors, including:</w:t>
      </w:r>
    </w:p>
    <w:p>
      <w:pPr>
        <w:spacing w:after="0" w:line="38" w:lineRule="exact"/>
        <w:rPr>
          <w:sz w:val="20"/>
          <w:szCs w:val="20"/>
          <w:color w:val="auto"/>
        </w:rPr>
      </w:pPr>
    </w:p>
    <w:p>
      <w:pPr>
        <w:ind w:left="1000" w:hanging="493"/>
        <w:spacing w:after="0"/>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costs, timing and outcome of regulatory review of our product candidates;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scope, progress, results and costs of our clinical trials;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scope, prioritization and number of our research and development programs;</w:t>
      </w:r>
    </w:p>
    <w:p>
      <w:pPr>
        <w:spacing w:after="0" w:line="117" w:lineRule="exact"/>
        <w:rPr>
          <w:rFonts w:ascii="Arial" w:cs="Arial" w:eastAsia="Arial" w:hAnsi="Arial"/>
          <w:sz w:val="18"/>
          <w:szCs w:val="18"/>
          <w:color w:val="auto"/>
        </w:rPr>
      </w:pPr>
    </w:p>
    <w:p>
      <w:pPr>
        <w:ind w:left="1000" w:right="320" w:hanging="493"/>
        <w:spacing w:after="0" w:line="277" w:lineRule="auto"/>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costs of preparing, filing and prosecuting patent applications, maintaining and enforcing our intellectual property rights and defending intellectual property-related claims;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ability to maintain compliance with covenants under our loan agreements;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extent to which we acquire or in-license other product candidates and technologies;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impact on the timing of our clinical trials and our business due to the COVID-19 pandemic;</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costs to scale up and secure manufacturing arrangements for commercial production; and</w:t>
      </w:r>
    </w:p>
    <w:p>
      <w:pPr>
        <w:spacing w:after="0" w:line="117" w:lineRule="exact"/>
        <w:rPr>
          <w:rFonts w:ascii="Arial" w:cs="Arial" w:eastAsia="Arial" w:hAnsi="Arial"/>
          <w:sz w:val="18"/>
          <w:szCs w:val="18"/>
          <w:color w:val="auto"/>
        </w:rPr>
      </w:pPr>
    </w:p>
    <w:p>
      <w:pPr>
        <w:ind w:left="1000" w:right="820" w:hanging="493"/>
        <w:spacing w:after="0" w:line="277" w:lineRule="auto"/>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costs of establishing or contracting for sales and marketing capabilities if we obtain regulatory approvals to market our product candidates.</w:t>
      </w:r>
    </w:p>
    <w:p>
      <w:pPr>
        <w:spacing w:after="0" w:line="62" w:lineRule="exact"/>
        <w:rPr>
          <w:sz w:val="20"/>
          <w:szCs w:val="20"/>
          <w:color w:val="auto"/>
        </w:rPr>
      </w:pPr>
    </w:p>
    <w:p>
      <w:pPr>
        <w:ind w:firstLine="510"/>
        <w:spacing w:after="0" w:line="296" w:lineRule="auto"/>
        <w:rPr>
          <w:sz w:val="20"/>
          <w:szCs w:val="20"/>
          <w:color w:val="auto"/>
        </w:rPr>
      </w:pPr>
      <w:r>
        <w:rPr>
          <w:rFonts w:ascii="Arial" w:cs="Arial" w:eastAsia="Arial" w:hAnsi="Arial"/>
          <w:sz w:val="16"/>
          <w:szCs w:val="16"/>
          <w:color w:val="auto"/>
        </w:rPr>
        <w:t>Identifying potential product candidates and conducting preclinical studies and clinical trials is a time-consuming, expensive and uncertain process that takes many years to complete, and we may never generate the necessary data or results required to obtain marketing approval and achieve product sales. In addition, our product candidates, if approved, may not achieve commercial success. Our commercial revenues, if any, will be derived from sales of a product candidate that we do not expect to be commercially available in the near term, if at all. We may need to continue to rely on additional financing to achieve our business objectives. Adequate additional financing may not be available to us on acceptable terms, or at all.</w:t>
      </w:r>
    </w:p>
    <w:p>
      <w:pPr>
        <w:spacing w:after="0" w:line="53" w:lineRule="exact"/>
        <w:rPr>
          <w:sz w:val="20"/>
          <w:szCs w:val="20"/>
          <w:color w:val="auto"/>
        </w:rPr>
      </w:pPr>
    </w:p>
    <w:p>
      <w:pPr>
        <w:ind w:right="120" w:firstLine="510"/>
        <w:spacing w:after="0" w:line="291" w:lineRule="auto"/>
        <w:rPr>
          <w:sz w:val="20"/>
          <w:szCs w:val="20"/>
          <w:color w:val="auto"/>
        </w:rPr>
      </w:pPr>
      <w:r>
        <w:rPr>
          <w:rFonts w:ascii="Arial" w:cs="Arial" w:eastAsia="Arial" w:hAnsi="Arial"/>
          <w:sz w:val="16"/>
          <w:szCs w:val="16"/>
          <w:color w:val="auto"/>
        </w:rPr>
        <w:t>Until such time, if ever, as we can generate substantial product revenues, we expect to finance our cash needs through a combination of equity offerings, debt financings, collaborations, strategic alliances and licensing arrangements. Our ability to raise additional capital may be adversely impacted by potential worsening global economic conditions and the recent disruptions to, and volatility in, the credit and financial markets in the United States and worldwide resulting from the ongoing COVID-19 pandemic. To the extent that we raise additional capital through the sale of equity or convertible debt securities, ownership interests of existing stockholders may be diluted, and the terms of these securities may include liquidation or other preferences that adversely affect our existing stockholders’ rights. Debt financing, if available, may involve agreements that include covenants limiting or restricting our ability to take specific actions, such as incurring additional debt, making capital expenditures or declaring dividends.</w:t>
      </w:r>
    </w:p>
    <w:p>
      <w:pPr>
        <w:spacing w:after="0" w:line="58" w:lineRule="exact"/>
        <w:rPr>
          <w:sz w:val="20"/>
          <w:szCs w:val="20"/>
          <w:color w:val="auto"/>
        </w:rPr>
      </w:pPr>
    </w:p>
    <w:p>
      <w:pPr>
        <w:ind w:right="40" w:firstLine="510"/>
        <w:spacing w:after="0" w:line="257" w:lineRule="auto"/>
        <w:rPr>
          <w:sz w:val="20"/>
          <w:szCs w:val="20"/>
          <w:color w:val="auto"/>
        </w:rPr>
      </w:pPr>
      <w:r>
        <w:rPr>
          <w:rFonts w:ascii="Arial" w:cs="Arial" w:eastAsia="Arial" w:hAnsi="Arial"/>
          <w:sz w:val="18"/>
          <w:szCs w:val="18"/>
          <w:color w:val="auto"/>
        </w:rPr>
        <w:t>If we raise funds through additional collaborations, strategic alliances or licensing arrangements with third parties, we may have to relinquish valuable rights to our technologies, future revenue streams, research programs or product candidates or to grant licenses on terms that may not be favorable to us. If we are unable to raise additional funds through equity or debt financings when needed, we may be required to delay, limit, reduce or terminate our product development or future commercialization efforts or grant rights to develop and market product candidates that we would otherwise prefer to develop and market ourselves.</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Off-Balance Sheet Arrangements</w:t>
      </w:r>
    </w:p>
    <w:p>
      <w:pPr>
        <w:spacing w:after="0" w:line="333" w:lineRule="exact"/>
        <w:rPr>
          <w:sz w:val="20"/>
          <w:szCs w:val="20"/>
          <w:color w:val="auto"/>
        </w:rPr>
      </w:pPr>
    </w:p>
    <w:p>
      <w:pPr>
        <w:jc w:val="center"/>
        <w:ind w:right="40"/>
        <w:spacing w:after="0"/>
        <w:rPr>
          <w:sz w:val="20"/>
          <w:szCs w:val="20"/>
          <w:color w:val="auto"/>
        </w:rPr>
      </w:pPr>
      <w:r>
        <w:rPr>
          <w:rFonts w:ascii="Arial" w:cs="Arial" w:eastAsia="Arial" w:hAnsi="Arial"/>
          <w:sz w:val="17"/>
          <w:szCs w:val="17"/>
          <w:color w:val="auto"/>
        </w:rPr>
        <w:t>We did not have during the periods presented, and we do not currently have, any off-balance sheet arrangements, as defined under SEC rules.</w:t>
      </w:r>
    </w:p>
    <w:p>
      <w:pPr>
        <w:spacing w:after="0" w:line="3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229" w:lineRule="exact"/>
        <w:rPr>
          <w:sz w:val="20"/>
          <w:szCs w:val="20"/>
          <w:color w:val="auto"/>
        </w:rPr>
      </w:pPr>
    </w:p>
    <w:p>
      <w:pPr>
        <w:ind w:right="320" w:firstLine="510"/>
        <w:spacing w:after="0" w:line="277" w:lineRule="auto"/>
        <w:rPr>
          <w:sz w:val="20"/>
          <w:szCs w:val="20"/>
          <w:color w:val="auto"/>
        </w:rPr>
      </w:pPr>
      <w:r>
        <w:rPr>
          <w:rFonts w:ascii="Arial" w:cs="Arial" w:eastAsia="Arial" w:hAnsi="Arial"/>
          <w:sz w:val="18"/>
          <w:szCs w:val="18"/>
          <w:color w:val="auto"/>
        </w:rPr>
        <w:t>As of June 30, 2021, there have been no material changes to our contractual obligations and commitments as previously disclosed in our Annual Report on Form 10-K for the fiscal year ended December 31, 2020.</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JOBS Act Transition Period</w:t>
      </w:r>
    </w:p>
    <w:p>
      <w:pPr>
        <w:spacing w:after="0" w:line="121" w:lineRule="exact"/>
        <w:rPr>
          <w:sz w:val="20"/>
          <w:szCs w:val="20"/>
          <w:color w:val="auto"/>
        </w:rPr>
      </w:pPr>
    </w:p>
    <w:p>
      <w:pPr>
        <w:ind w:right="540" w:firstLine="510"/>
        <w:spacing w:after="0" w:line="277" w:lineRule="auto"/>
        <w:rPr>
          <w:sz w:val="20"/>
          <w:szCs w:val="20"/>
          <w:color w:val="auto"/>
        </w:rPr>
      </w:pPr>
      <w:r>
        <w:rPr>
          <w:rFonts w:ascii="Arial" w:cs="Arial" w:eastAsia="Arial" w:hAnsi="Arial"/>
          <w:sz w:val="18"/>
          <w:szCs w:val="18"/>
          <w:color w:val="auto"/>
        </w:rPr>
        <w:t>In April 2012, the Jumpstart Our Business Startups Act of 2012, or the JOBS Act, was enacted. Section 107 of the JOBS Act provides that an “emerging growth company” can take advantage of the extended transition period provided in Section 7(a)(2)(B) of</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24" w:name="page25"/>
    <w:bookmarkEnd w:id="24"/>
    <w:p>
      <w:pPr>
        <w:ind w:right="40"/>
        <w:spacing w:after="0" w:line="259" w:lineRule="auto"/>
        <w:rPr>
          <w:sz w:val="20"/>
          <w:szCs w:val="20"/>
          <w:color w:val="auto"/>
        </w:rPr>
      </w:pPr>
      <w:r>
        <w:rPr>
          <w:rFonts w:ascii="Arial" w:cs="Arial" w:eastAsia="Arial" w:hAnsi="Arial"/>
          <w:sz w:val="18"/>
          <w:szCs w:val="18"/>
          <w:color w:val="auto"/>
        </w:rPr>
        <w:t>the Securities Act for complying with new or revised accounting standards. Thus, an emerging growth company can delay the adoption of certain accounting standards until those standards would otherwise apply to private companies. We have irrevocably elected not to avail ourselves of this extended transition period and, as a result, we will adopt new or revised accounting standards on the relevant dates on which adoption of such standards is required for other public companies.</w:t>
      </w:r>
    </w:p>
    <w:p>
      <w:pPr>
        <w:spacing w:after="0" w:line="187" w:lineRule="exact"/>
        <w:rPr>
          <w:sz w:val="20"/>
          <w:szCs w:val="20"/>
          <w:color w:val="auto"/>
        </w:rPr>
      </w:pPr>
    </w:p>
    <w:p>
      <w:pPr>
        <w:ind w:right="20" w:firstLine="510"/>
        <w:spacing w:after="0" w:line="269" w:lineRule="auto"/>
        <w:rPr>
          <w:sz w:val="20"/>
          <w:szCs w:val="20"/>
          <w:color w:val="auto"/>
        </w:rPr>
      </w:pPr>
      <w:r>
        <w:rPr>
          <w:rFonts w:ascii="Arial" w:cs="Arial" w:eastAsia="Arial" w:hAnsi="Arial"/>
          <w:sz w:val="17"/>
          <w:szCs w:val="17"/>
          <w:color w:val="auto"/>
        </w:rPr>
        <w:t>We are in the process of evaluating the benefits of relying on other exemptions and reduced reporting requirements under the JOBS Act. Subject to certain conditions, as an emerging growth company, we may rely on certain of these exemptions, including without limitation, (i) providing an auditor’s attestation report on our system of internal controls over financial reporting pursuant to Section 404(b) of the Sarbanes-Oxley Act and (ii) complying with any requirement that may be adopted by the Public Company Accounting Oversight Board regarding mandatory audit firm rotation or a supplement to the auditor’s report providing additional information about the audit and the financial statements, known as the auditor discussion and analysis. We will remain an emerging growth company until the earlier to occur of (1) the last day of the fiscal year (a) December 31, 2023, which is the end of the fiscal year following the fifth anniversary of the completion of our IPO, (b) in which we have total annual gross revenues of at least $1.07 billion or (c) in which we are deemed to be a “large accelerated filer” under the rules of the U.S. Securities and Exchange Commission, which means the market value of our common stock that is held by non-affiliates exceeds $700 million as of the prior June 30th, and (2) the date on which we have issued more than $1.0 billion in non-convertible debt during the prior three-year period.</w:t>
      </w:r>
    </w:p>
    <w:p>
      <w:pPr>
        <w:spacing w:after="0" w:line="289" w:lineRule="exact"/>
        <w:rPr>
          <w:sz w:val="20"/>
          <w:szCs w:val="20"/>
          <w:color w:val="auto"/>
        </w:rPr>
      </w:pPr>
    </w:p>
    <w:p>
      <w:pPr>
        <w:spacing w:after="0"/>
        <w:tabs>
          <w:tab w:leader="none" w:pos="10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Quantitative and Qualitative Disclosures About Market Risks</w:t>
      </w:r>
    </w:p>
    <w:p>
      <w:pPr>
        <w:spacing w:after="0" w:line="121" w:lineRule="exact"/>
        <w:rPr>
          <w:sz w:val="20"/>
          <w:szCs w:val="20"/>
          <w:color w:val="auto"/>
        </w:rPr>
      </w:pPr>
    </w:p>
    <w:p>
      <w:pPr>
        <w:ind w:right="120" w:firstLine="510"/>
        <w:spacing w:after="0" w:line="277" w:lineRule="auto"/>
        <w:rPr>
          <w:sz w:val="20"/>
          <w:szCs w:val="20"/>
          <w:color w:val="auto"/>
        </w:rPr>
      </w:pPr>
      <w:r>
        <w:rPr>
          <w:rFonts w:ascii="Arial" w:cs="Arial" w:eastAsia="Arial" w:hAnsi="Arial"/>
          <w:sz w:val="18"/>
          <w:szCs w:val="18"/>
          <w:color w:val="auto"/>
        </w:rPr>
        <w:t>There have been no material changes to our quantitative and qualitative disclosures about market risk as previously disclosed in our Annual Report on Form 10-K for the fiscal year ended December 31, 2020.</w:t>
      </w:r>
    </w:p>
    <w:p>
      <w:pPr>
        <w:spacing w:after="0" w:line="274" w:lineRule="exact"/>
        <w:rPr>
          <w:sz w:val="20"/>
          <w:szCs w:val="20"/>
          <w:color w:val="auto"/>
        </w:rPr>
      </w:pPr>
    </w:p>
    <w:p>
      <w:pPr>
        <w:spacing w:after="0"/>
        <w:tabs>
          <w:tab w:leader="none" w:pos="10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Controls and Procedures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Evaluation of Disclosure Controls and Procedures</w:t>
      </w:r>
    </w:p>
    <w:p>
      <w:pPr>
        <w:spacing w:after="0" w:line="117" w:lineRule="exact"/>
        <w:rPr>
          <w:sz w:val="20"/>
          <w:szCs w:val="20"/>
          <w:color w:val="auto"/>
        </w:rPr>
      </w:pPr>
    </w:p>
    <w:p>
      <w:pPr>
        <w:ind w:firstLine="510"/>
        <w:spacing w:after="0" w:line="289" w:lineRule="auto"/>
        <w:rPr>
          <w:sz w:val="20"/>
          <w:szCs w:val="20"/>
          <w:color w:val="auto"/>
        </w:rPr>
      </w:pPr>
      <w:r>
        <w:rPr>
          <w:rFonts w:ascii="Arial" w:cs="Arial" w:eastAsia="Arial" w:hAnsi="Arial"/>
          <w:sz w:val="16"/>
          <w:szCs w:val="16"/>
          <w:color w:val="auto"/>
        </w:rPr>
        <w:t>Our management, with the participation of our Chief Executive Officer and Chief Financial Officer, has evaluated the effectiveness of our disclosure controls and procedures (as such term is defined in Rules 13a-15(e) and 15d-15(e) under the Exchange Act) as of the end of the period covered by this Quarterly Report on Form 10-Q to ensure that the information required to be disclosed by us in the reports that it files or submits under the Exchange Act is recorded, processed, summarized and reported within the time periods specified in SEC rules and forms, and that information required to be disclosed in the reports we file or submit under the Exchange Act is accumulated and communicated to our management, including our Chief Executive Officer and Chief Financial Officer, to allow timely decisions regarding required disclosures. Management recognizes that any controls and procedures, no matter how well designed and operated, can provide only reasonable assurance of achieving their objectives and management necessarily applies its judgment in evaluating the cost benefit relationship of possible controls and procedures. Based on such evaluation, our Chief Executive Officer and Chief Financial Officer have concluded that our disclosure controls and procedures were effective at the reasonable assurance level as of June 30, 2021.</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Disclosure Controls and Procedures</w:t>
      </w:r>
    </w:p>
    <w:p>
      <w:pPr>
        <w:spacing w:after="0" w:line="131" w:lineRule="exact"/>
        <w:rPr>
          <w:sz w:val="20"/>
          <w:szCs w:val="20"/>
          <w:color w:val="auto"/>
        </w:rPr>
      </w:pPr>
    </w:p>
    <w:p>
      <w:pPr>
        <w:ind w:right="340" w:firstLine="510"/>
        <w:spacing w:after="0" w:line="277" w:lineRule="auto"/>
        <w:rPr>
          <w:sz w:val="20"/>
          <w:szCs w:val="20"/>
          <w:color w:val="auto"/>
        </w:rPr>
      </w:pPr>
      <w:r>
        <w:rPr>
          <w:rFonts w:ascii="Arial" w:cs="Arial" w:eastAsia="Arial" w:hAnsi="Arial"/>
          <w:sz w:val="18"/>
          <w:szCs w:val="18"/>
          <w:color w:val="auto"/>
        </w:rPr>
        <w:t>Management is responsible for establishing and maintaining adequate internal control over financial reporting as defined in Rules 13a-15(f) and 15d-15(f) under the Exchange Act.</w:t>
      </w:r>
    </w:p>
    <w:p>
      <w:pPr>
        <w:spacing w:after="0" w:line="170" w:lineRule="exact"/>
        <w:rPr>
          <w:sz w:val="20"/>
          <w:szCs w:val="20"/>
          <w:color w:val="auto"/>
        </w:rPr>
      </w:pPr>
    </w:p>
    <w:p>
      <w:pPr>
        <w:ind w:right="20" w:firstLine="510"/>
        <w:spacing w:after="0" w:line="257" w:lineRule="auto"/>
        <w:rPr>
          <w:sz w:val="20"/>
          <w:szCs w:val="20"/>
          <w:color w:val="auto"/>
        </w:rPr>
      </w:pPr>
      <w:r>
        <w:rPr>
          <w:rFonts w:ascii="Arial" w:cs="Arial" w:eastAsia="Arial" w:hAnsi="Arial"/>
          <w:sz w:val="18"/>
          <w:szCs w:val="18"/>
          <w:color w:val="auto"/>
        </w:rPr>
        <w:t>Our internal control over financial reporting is a process designed to provide reasonable assurance regarding the reliability of financial reporting and the preparation of financial statements for external purposes in accordance with generally accepted accounting principles. 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88" w:lineRule="exact"/>
        <w:rPr>
          <w:sz w:val="20"/>
          <w:szCs w:val="20"/>
          <w:color w:val="auto"/>
        </w:rPr>
      </w:pPr>
    </w:p>
    <w:p>
      <w:pPr>
        <w:jc w:val="both"/>
        <w:ind w:right="620" w:firstLine="510"/>
        <w:spacing w:after="0" w:line="342" w:lineRule="auto"/>
        <w:rPr>
          <w:sz w:val="20"/>
          <w:szCs w:val="20"/>
          <w:color w:val="auto"/>
        </w:rPr>
      </w:pPr>
      <w:r>
        <w:rPr>
          <w:rFonts w:ascii="Arial" w:cs="Arial" w:eastAsia="Arial" w:hAnsi="Arial"/>
          <w:sz w:val="16"/>
          <w:szCs w:val="16"/>
          <w:color w:val="auto"/>
        </w:rPr>
        <w:t>Management utilized the criteria established in the Internal Control – Integrated Framework (2013) issued by the Committee of Sponsoring Organizations of the Treadway Commission (COSO) to assess the effectiveness of our internal control over financial reporting as of June 30, 2021.</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Changes in Internal Control over Financial Reporting</w:t>
      </w:r>
    </w:p>
    <w:p>
      <w:pPr>
        <w:spacing w:after="0" w:line="225" w:lineRule="exact"/>
        <w:rPr>
          <w:sz w:val="20"/>
          <w:szCs w:val="20"/>
          <w:color w:val="auto"/>
        </w:rPr>
      </w:pPr>
    </w:p>
    <w:p>
      <w:pPr>
        <w:jc w:val="both"/>
        <w:ind w:right="480" w:firstLine="510"/>
        <w:spacing w:after="0" w:line="263" w:lineRule="auto"/>
        <w:rPr>
          <w:sz w:val="20"/>
          <w:szCs w:val="20"/>
          <w:color w:val="auto"/>
        </w:rPr>
      </w:pPr>
      <w:r>
        <w:rPr>
          <w:rFonts w:ascii="Arial" w:cs="Arial" w:eastAsia="Arial" w:hAnsi="Arial"/>
          <w:sz w:val="18"/>
          <w:szCs w:val="18"/>
          <w:color w:val="auto"/>
        </w:rPr>
        <w:t>There have been no changes in our internal control over financial reporting identified in connection with the evaluation required by Rule 13a-15(b) and 15d-15(b) of the Exchange Act that occurred during the quarter ended June 30, 2021, that has materially affected, or is reasonably likely to materially affect, our internal control over financial reporting.</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449" w:right="35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color w:val="auto"/>
        </w:rPr>
        <w:t>PART II. OTHER INFORMATION</w:t>
      </w:r>
    </w:p>
    <w:p>
      <w:pPr>
        <w:spacing w:after="0" w:line="333" w:lineRule="exact"/>
        <w:rPr>
          <w:sz w:val="20"/>
          <w:szCs w:val="20"/>
          <w:color w:val="auto"/>
        </w:rPr>
      </w:pPr>
    </w:p>
    <w:p>
      <w:pPr>
        <w:spacing w:after="0"/>
        <w:tabs>
          <w:tab w:leader="none" w:pos="88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Legal Proceedings</w:t>
      </w:r>
    </w:p>
    <w:p>
      <w:pPr>
        <w:spacing w:after="0" w:line="121" w:lineRule="exact"/>
        <w:rPr>
          <w:sz w:val="20"/>
          <w:szCs w:val="20"/>
          <w:color w:val="auto"/>
        </w:rPr>
      </w:pPr>
    </w:p>
    <w:p>
      <w:pPr>
        <w:ind w:right="180"/>
        <w:spacing w:after="0" w:line="263" w:lineRule="auto"/>
        <w:rPr>
          <w:sz w:val="20"/>
          <w:szCs w:val="20"/>
          <w:color w:val="auto"/>
        </w:rPr>
      </w:pPr>
      <w:r>
        <w:rPr>
          <w:rFonts w:ascii="Arial" w:cs="Arial" w:eastAsia="Arial" w:hAnsi="Arial"/>
          <w:sz w:val="18"/>
          <w:szCs w:val="18"/>
          <w:color w:val="auto"/>
        </w:rPr>
        <w:t>From time to time, we may be subject to litigation and claims arising in the ordinary course of business. We are not currently a party to any material legal proceedings and we are not aware of any pending or threatened legal proceeding against us that we believe could have a material adverse effect on our business, operating results, cash flows or financial condition.</w:t>
      </w:r>
    </w:p>
    <w:p>
      <w:pPr>
        <w:spacing w:after="0" w:line="288" w:lineRule="exact"/>
        <w:rPr>
          <w:sz w:val="20"/>
          <w:szCs w:val="20"/>
          <w:color w:val="auto"/>
        </w:rPr>
      </w:pPr>
    </w:p>
    <w:p>
      <w:pPr>
        <w:spacing w:after="0"/>
        <w:tabs>
          <w:tab w:leader="none" w:pos="88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color w:val="auto"/>
        </w:rPr>
        <w:t>Risk Factors</w:t>
      </w:r>
    </w:p>
    <w:p>
      <w:pPr>
        <w:spacing w:after="0" w:line="229"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Our business is subject to risks and events that, if they occur, could adversely affect our financial condition and results of operations and the trading price of our securities. In addition to the other information set forth in this quarterly report on Form 10-Q, you should carefully consider the factors described in Part I, Item 1A. “Risk Factors” of our Annual Report on Form 10-K for the fiscal year ended December 31, 2020, filed with the Securities and Exchange Commission on March 17, 2021. There have been no material changes to the risk factors described in that report.</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 Factors Summary</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Our business is subject to a number of risks and uncertainties, including those risks discussed below. These risks include, among others, the following:</w:t>
      </w:r>
    </w:p>
    <w:p>
      <w:pPr>
        <w:spacing w:after="0" w:line="352" w:lineRule="exact"/>
        <w:rPr>
          <w:sz w:val="20"/>
          <w:szCs w:val="20"/>
          <w:color w:val="auto"/>
        </w:rPr>
      </w:pPr>
    </w:p>
    <w:p>
      <w:pPr>
        <w:ind w:left="1200" w:hanging="598"/>
        <w:spacing w:after="0"/>
        <w:tabs>
          <w:tab w:leader="none" w:pos="1200" w:val="left"/>
        </w:tabs>
        <w:numPr>
          <w:ilvl w:val="0"/>
          <w:numId w:val="11"/>
        </w:numPr>
        <w:rPr>
          <w:rFonts w:ascii="Arial" w:cs="Arial" w:eastAsia="Arial" w:hAnsi="Arial"/>
          <w:sz w:val="18"/>
          <w:szCs w:val="18"/>
          <w:color w:val="auto"/>
        </w:rPr>
      </w:pPr>
      <w:r>
        <w:rPr>
          <w:rFonts w:ascii="Arial" w:cs="Arial" w:eastAsia="Arial" w:hAnsi="Arial"/>
          <w:sz w:val="18"/>
          <w:szCs w:val="18"/>
          <w:b w:val="1"/>
          <w:bCs w:val="1"/>
          <w:color w:val="auto"/>
        </w:rPr>
        <w:t>Risks Related to Our Financial Position and Capital Needs</w:t>
      </w:r>
    </w:p>
    <w:p>
      <w:pPr>
        <w:spacing w:after="0" w:line="121" w:lineRule="exact"/>
        <w:rPr>
          <w:sz w:val="20"/>
          <w:szCs w:val="20"/>
          <w:color w:val="auto"/>
        </w:rPr>
      </w:pPr>
    </w:p>
    <w:p>
      <w:pPr>
        <w:ind w:left="1740" w:right="560" w:hanging="436"/>
        <w:spacing w:after="0" w:line="259" w:lineRule="auto"/>
        <w:tabs>
          <w:tab w:leader="none" w:pos="1740" w:val="left"/>
        </w:tabs>
        <w:numPr>
          <w:ilvl w:val="0"/>
          <w:numId w:val="12"/>
        </w:numPr>
        <w:rPr>
          <w:rFonts w:ascii="Courier New" w:cs="Courier New" w:eastAsia="Courier New" w:hAnsi="Courier New"/>
          <w:sz w:val="18"/>
          <w:szCs w:val="18"/>
          <w:color w:val="auto"/>
        </w:rPr>
      </w:pPr>
      <w:r>
        <w:rPr>
          <w:rFonts w:ascii="Arial" w:cs="Arial" w:eastAsia="Arial" w:hAnsi="Arial"/>
          <w:sz w:val="18"/>
          <w:szCs w:val="18"/>
          <w:color w:val="auto"/>
        </w:rPr>
        <w:t>We have incurred significant losses since our inception. We expect to incur losses over the next several years and may never achieve or maintain profitability.</w:t>
      </w:r>
    </w:p>
    <w:p>
      <w:pPr>
        <w:spacing w:after="0" w:line="360" w:lineRule="exact"/>
        <w:rPr>
          <w:sz w:val="20"/>
          <w:szCs w:val="20"/>
          <w:color w:val="auto"/>
        </w:rPr>
      </w:pPr>
    </w:p>
    <w:p>
      <w:pPr>
        <w:ind w:left="1740" w:right="280" w:hanging="423"/>
        <w:spacing w:after="0" w:line="323" w:lineRule="auto"/>
        <w:tabs>
          <w:tab w:leader="none" w:pos="1740" w:val="left"/>
        </w:tabs>
        <w:numPr>
          <w:ilvl w:val="1"/>
          <w:numId w:val="13"/>
        </w:numPr>
        <w:rPr>
          <w:rFonts w:ascii="Courier New" w:cs="Courier New" w:eastAsia="Courier New" w:hAnsi="Courier New"/>
          <w:sz w:val="16"/>
          <w:szCs w:val="16"/>
          <w:color w:val="auto"/>
        </w:rPr>
      </w:pPr>
      <w:r>
        <w:rPr>
          <w:rFonts w:ascii="Arial" w:cs="Arial" w:eastAsia="Arial" w:hAnsi="Arial"/>
          <w:sz w:val="16"/>
          <w:szCs w:val="16"/>
          <w:color w:val="auto"/>
        </w:rPr>
        <w:t>We may need substantial additional funding to meet our financial obligations and to pursue our business objectives. If we are unable to raise capital when needed, we could be forced to curtail our planned operations and the pursuit of our growth strategy.</w:t>
      </w:r>
    </w:p>
    <w:p>
      <w:pPr>
        <w:spacing w:after="0" w:line="25" w:lineRule="exact"/>
        <w:rPr>
          <w:rFonts w:ascii="Courier New" w:cs="Courier New" w:eastAsia="Courier New" w:hAnsi="Courier New"/>
          <w:sz w:val="16"/>
          <w:szCs w:val="16"/>
          <w:color w:val="auto"/>
        </w:rPr>
      </w:pPr>
    </w:p>
    <w:p>
      <w:pPr>
        <w:ind w:left="1740" w:right="240" w:hanging="423"/>
        <w:spacing w:after="0" w:line="259" w:lineRule="auto"/>
        <w:tabs>
          <w:tab w:leader="none" w:pos="1740" w:val="left"/>
        </w:tabs>
        <w:numPr>
          <w:ilvl w:val="1"/>
          <w:numId w:val="13"/>
        </w:numPr>
        <w:rPr>
          <w:rFonts w:ascii="Courier New" w:cs="Courier New" w:eastAsia="Courier New" w:hAnsi="Courier New"/>
          <w:sz w:val="18"/>
          <w:szCs w:val="18"/>
          <w:color w:val="auto"/>
        </w:rPr>
      </w:pPr>
      <w:r>
        <w:rPr>
          <w:rFonts w:ascii="Arial" w:cs="Arial" w:eastAsia="Arial" w:hAnsi="Arial"/>
          <w:sz w:val="18"/>
          <w:szCs w:val="18"/>
          <w:color w:val="auto"/>
        </w:rPr>
        <w:t>We have a limited operating history and no history of commercializing products, which may make it difficult for you to evaluate the success of our business to date and to assess our future viability.</w:t>
      </w:r>
    </w:p>
    <w:p>
      <w:pPr>
        <w:spacing w:after="0" w:line="200" w:lineRule="exact"/>
        <w:rPr>
          <w:rFonts w:ascii="Courier New" w:cs="Courier New" w:eastAsia="Courier New" w:hAnsi="Courier New"/>
          <w:sz w:val="18"/>
          <w:szCs w:val="18"/>
          <w:color w:val="auto"/>
        </w:rPr>
      </w:pPr>
    </w:p>
    <w:p>
      <w:pPr>
        <w:spacing w:after="0" w:line="371" w:lineRule="exact"/>
        <w:rPr>
          <w:rFonts w:ascii="Courier New" w:cs="Courier New" w:eastAsia="Courier New" w:hAnsi="Courier New"/>
          <w:sz w:val="18"/>
          <w:szCs w:val="18"/>
          <w:color w:val="auto"/>
        </w:rPr>
      </w:pPr>
    </w:p>
    <w:p>
      <w:pPr>
        <w:ind w:left="1200" w:hanging="598"/>
        <w:spacing w:after="0"/>
        <w:tabs>
          <w:tab w:leader="none" w:pos="1200" w:val="left"/>
        </w:tabs>
        <w:numPr>
          <w:ilvl w:val="0"/>
          <w:numId w:val="13"/>
        </w:numPr>
        <w:rPr>
          <w:rFonts w:ascii="Arial" w:cs="Arial" w:eastAsia="Arial" w:hAnsi="Arial"/>
          <w:sz w:val="18"/>
          <w:szCs w:val="18"/>
          <w:color w:val="auto"/>
        </w:rPr>
      </w:pPr>
      <w:r>
        <w:rPr>
          <w:rFonts w:ascii="Arial" w:cs="Arial" w:eastAsia="Arial" w:hAnsi="Arial"/>
          <w:sz w:val="18"/>
          <w:szCs w:val="18"/>
          <w:b w:val="1"/>
          <w:bCs w:val="1"/>
          <w:color w:val="auto"/>
        </w:rPr>
        <w:t>Risks Related to the Development of Our Product Candidates</w:t>
      </w:r>
    </w:p>
    <w:p>
      <w:pPr>
        <w:spacing w:after="0" w:line="121" w:lineRule="exact"/>
        <w:rPr>
          <w:sz w:val="20"/>
          <w:szCs w:val="20"/>
          <w:color w:val="auto"/>
        </w:rPr>
      </w:pPr>
    </w:p>
    <w:p>
      <w:pPr>
        <w:ind w:left="1740" w:right="80" w:hanging="436"/>
        <w:spacing w:after="0" w:line="294" w:lineRule="auto"/>
        <w:tabs>
          <w:tab w:leader="none" w:pos="1740" w:val="left"/>
        </w:tabs>
        <w:numPr>
          <w:ilvl w:val="1"/>
          <w:numId w:val="14"/>
        </w:numPr>
        <w:rPr>
          <w:rFonts w:ascii="Courier New" w:cs="Courier New" w:eastAsia="Courier New" w:hAnsi="Courier New"/>
          <w:sz w:val="16"/>
          <w:szCs w:val="16"/>
          <w:color w:val="auto"/>
        </w:rPr>
      </w:pPr>
      <w:r>
        <w:rPr>
          <w:rFonts w:ascii="Arial" w:cs="Arial" w:eastAsia="Arial" w:hAnsi="Arial"/>
          <w:sz w:val="16"/>
          <w:szCs w:val="16"/>
          <w:color w:val="auto"/>
        </w:rPr>
        <w:t>Our lead product candidate, VP-102, is being developed for the treatment of molluscum, common warts and external genital warts, for which we are currently conducting clinical trials. If we are unable to successfully develop, receive regulatory approval for and commercialize VP-102 for the treatment of molluscum, common warts, external genital warts or any other indications, or successfully develop any other product candidates, or experience significant delays in doing so, our business will be harmed.</w:t>
      </w:r>
    </w:p>
    <w:p>
      <w:pPr>
        <w:spacing w:after="0" w:line="200" w:lineRule="exact"/>
        <w:rPr>
          <w:rFonts w:ascii="Courier New" w:cs="Courier New" w:eastAsia="Courier New" w:hAnsi="Courier New"/>
          <w:sz w:val="16"/>
          <w:szCs w:val="16"/>
          <w:color w:val="auto"/>
        </w:rPr>
      </w:pPr>
    </w:p>
    <w:p>
      <w:pPr>
        <w:spacing w:after="0" w:line="348" w:lineRule="exact"/>
        <w:rPr>
          <w:rFonts w:ascii="Courier New" w:cs="Courier New" w:eastAsia="Courier New" w:hAnsi="Courier New"/>
          <w:sz w:val="16"/>
          <w:szCs w:val="16"/>
          <w:color w:val="auto"/>
        </w:rPr>
      </w:pPr>
    </w:p>
    <w:p>
      <w:pPr>
        <w:ind w:left="1200" w:hanging="598"/>
        <w:spacing w:after="0"/>
        <w:tabs>
          <w:tab w:leader="none" w:pos="1200" w:val="left"/>
        </w:tabs>
        <w:numPr>
          <w:ilvl w:val="0"/>
          <w:numId w:val="14"/>
        </w:numPr>
        <w:rPr>
          <w:rFonts w:ascii="Arial" w:cs="Arial" w:eastAsia="Arial" w:hAnsi="Arial"/>
          <w:sz w:val="18"/>
          <w:szCs w:val="18"/>
          <w:color w:val="auto"/>
        </w:rPr>
      </w:pPr>
      <w:r>
        <w:rPr>
          <w:rFonts w:ascii="Arial" w:cs="Arial" w:eastAsia="Arial" w:hAnsi="Arial"/>
          <w:sz w:val="18"/>
          <w:szCs w:val="18"/>
          <w:b w:val="1"/>
          <w:bCs w:val="1"/>
          <w:color w:val="auto"/>
        </w:rPr>
        <w:t>Risks Related to the Commercialization of Our Product Candidates</w:t>
      </w:r>
    </w:p>
    <w:p>
      <w:pPr>
        <w:spacing w:after="0" w:line="121" w:lineRule="exact"/>
        <w:rPr>
          <w:rFonts w:ascii="Arial" w:cs="Arial" w:eastAsia="Arial" w:hAnsi="Arial"/>
          <w:sz w:val="18"/>
          <w:szCs w:val="18"/>
          <w:color w:val="auto"/>
        </w:rPr>
      </w:pPr>
    </w:p>
    <w:p>
      <w:pPr>
        <w:ind w:left="1740" w:right="160" w:hanging="436"/>
        <w:spacing w:after="0" w:line="254" w:lineRule="auto"/>
        <w:tabs>
          <w:tab w:leader="none" w:pos="1740" w:val="left"/>
        </w:tabs>
        <w:numPr>
          <w:ilvl w:val="1"/>
          <w:numId w:val="14"/>
        </w:numPr>
        <w:rPr>
          <w:rFonts w:ascii="Courier New" w:cs="Courier New" w:eastAsia="Courier New" w:hAnsi="Courier New"/>
          <w:sz w:val="18"/>
          <w:szCs w:val="18"/>
          <w:color w:val="auto"/>
        </w:rPr>
      </w:pPr>
      <w:r>
        <w:rPr>
          <w:rFonts w:ascii="Arial" w:cs="Arial" w:eastAsia="Arial" w:hAnsi="Arial"/>
          <w:sz w:val="18"/>
          <w:szCs w:val="18"/>
          <w:color w:val="auto"/>
        </w:rPr>
        <w:t>We face substantial competition, including from compounded cantharidin products that may compete with VP-102 and any other product candidates, which may result in a smaller than expected commercial opportunity and/or others discovering, developing or commercializing products before or more successfully than we do.</w:t>
      </w:r>
    </w:p>
    <w:p>
      <w:pPr>
        <w:spacing w:after="0" w:line="365" w:lineRule="exact"/>
        <w:rPr>
          <w:sz w:val="20"/>
          <w:szCs w:val="20"/>
          <w:color w:val="auto"/>
        </w:rPr>
      </w:pPr>
    </w:p>
    <w:p>
      <w:pPr>
        <w:ind w:left="1740" w:right="380" w:hanging="423"/>
        <w:spacing w:after="0" w:line="259" w:lineRule="auto"/>
        <w:tabs>
          <w:tab w:leader="none" w:pos="1740" w:val="left"/>
        </w:tabs>
        <w:numPr>
          <w:ilvl w:val="1"/>
          <w:numId w:val="15"/>
        </w:numPr>
        <w:rPr>
          <w:rFonts w:ascii="Courier New" w:cs="Courier New" w:eastAsia="Courier New" w:hAnsi="Courier New"/>
          <w:sz w:val="18"/>
          <w:szCs w:val="18"/>
          <w:color w:val="auto"/>
        </w:rPr>
      </w:pPr>
      <w:r>
        <w:rPr>
          <w:rFonts w:ascii="Arial" w:cs="Arial" w:eastAsia="Arial" w:hAnsi="Arial"/>
          <w:sz w:val="18"/>
          <w:szCs w:val="18"/>
          <w:color w:val="auto"/>
        </w:rPr>
        <w:t>The success of VP-102 for the treatment of molluscum and common warts will depend significantly on coverage and adequate reimbursement or the willingness of patients to pay for these procedures.</w:t>
      </w:r>
    </w:p>
    <w:p>
      <w:pPr>
        <w:spacing w:after="0" w:line="76" w:lineRule="exact"/>
        <w:rPr>
          <w:rFonts w:ascii="Courier New" w:cs="Courier New" w:eastAsia="Courier New" w:hAnsi="Courier New"/>
          <w:sz w:val="18"/>
          <w:szCs w:val="18"/>
          <w:color w:val="auto"/>
        </w:rPr>
      </w:pPr>
    </w:p>
    <w:p>
      <w:pPr>
        <w:ind w:left="1740" w:hanging="423"/>
        <w:spacing w:after="0"/>
        <w:tabs>
          <w:tab w:leader="none" w:pos="1740" w:val="left"/>
        </w:tabs>
        <w:numPr>
          <w:ilvl w:val="1"/>
          <w:numId w:val="15"/>
        </w:numPr>
        <w:rPr>
          <w:rFonts w:ascii="Courier New" w:cs="Courier New" w:eastAsia="Courier New" w:hAnsi="Courier New"/>
          <w:sz w:val="18"/>
          <w:szCs w:val="18"/>
          <w:color w:val="auto"/>
        </w:rPr>
      </w:pPr>
      <w:r>
        <w:rPr>
          <w:rFonts w:ascii="Arial" w:cs="Arial" w:eastAsia="Arial" w:hAnsi="Arial"/>
          <w:sz w:val="18"/>
          <w:szCs w:val="18"/>
          <w:color w:val="auto"/>
        </w:rPr>
        <w:t>The market for VP-102 and any other product candidates may not be as large as we expect.</w:t>
      </w:r>
    </w:p>
    <w:p>
      <w:pPr>
        <w:spacing w:after="0" w:line="200" w:lineRule="exact"/>
        <w:rPr>
          <w:rFonts w:ascii="Courier New" w:cs="Courier New" w:eastAsia="Courier New" w:hAnsi="Courier New"/>
          <w:sz w:val="18"/>
          <w:szCs w:val="18"/>
          <w:color w:val="auto"/>
        </w:rPr>
      </w:pPr>
    </w:p>
    <w:p>
      <w:pPr>
        <w:spacing w:after="0" w:line="396" w:lineRule="exact"/>
        <w:rPr>
          <w:rFonts w:ascii="Courier New" w:cs="Courier New" w:eastAsia="Courier New" w:hAnsi="Courier New"/>
          <w:sz w:val="18"/>
          <w:szCs w:val="18"/>
          <w:color w:val="auto"/>
        </w:rPr>
      </w:pPr>
    </w:p>
    <w:p>
      <w:pPr>
        <w:ind w:left="1200" w:hanging="598"/>
        <w:spacing w:after="0"/>
        <w:tabs>
          <w:tab w:leader="none" w:pos="1200" w:val="left"/>
        </w:tabs>
        <w:numPr>
          <w:ilvl w:val="0"/>
          <w:numId w:val="15"/>
        </w:numPr>
        <w:rPr>
          <w:rFonts w:ascii="Arial" w:cs="Arial" w:eastAsia="Arial" w:hAnsi="Arial"/>
          <w:sz w:val="18"/>
          <w:szCs w:val="18"/>
          <w:color w:val="auto"/>
        </w:rPr>
      </w:pPr>
      <w:r>
        <w:rPr>
          <w:rFonts w:ascii="Arial" w:cs="Arial" w:eastAsia="Arial" w:hAnsi="Arial"/>
          <w:sz w:val="18"/>
          <w:szCs w:val="18"/>
          <w:b w:val="1"/>
          <w:bCs w:val="1"/>
          <w:color w:val="auto"/>
        </w:rPr>
        <w:t>Risks Related to Our Dependence on Third Parties</w:t>
      </w:r>
    </w:p>
    <w:p>
      <w:pPr>
        <w:spacing w:after="0" w:line="121" w:lineRule="exact"/>
        <w:rPr>
          <w:sz w:val="20"/>
          <w:szCs w:val="20"/>
          <w:color w:val="auto"/>
        </w:rPr>
      </w:pPr>
    </w:p>
    <w:p>
      <w:pPr>
        <w:ind w:left="1740" w:right="260" w:hanging="436"/>
        <w:spacing w:after="0" w:line="254" w:lineRule="auto"/>
        <w:tabs>
          <w:tab w:leader="none" w:pos="1740" w:val="left"/>
        </w:tabs>
        <w:numPr>
          <w:ilvl w:val="0"/>
          <w:numId w:val="16"/>
        </w:numPr>
        <w:rPr>
          <w:rFonts w:ascii="Courier New" w:cs="Courier New" w:eastAsia="Courier New" w:hAnsi="Courier New"/>
          <w:sz w:val="18"/>
          <w:szCs w:val="18"/>
          <w:color w:val="auto"/>
        </w:rPr>
      </w:pPr>
      <w:r>
        <w:rPr>
          <w:rFonts w:ascii="Arial" w:cs="Arial" w:eastAsia="Arial" w:hAnsi="Arial"/>
          <w:sz w:val="18"/>
          <w:szCs w:val="18"/>
          <w:color w:val="auto"/>
        </w:rPr>
        <w:t>We currently rely on a third party to supply our raw material used in VP-102, and if we encounter any extended difficulties in procuring, or creating an alternative for, our raw material in VP-102 or any of our other product candidates we may develop, our business operations would be impaired.</w:t>
      </w:r>
    </w:p>
    <w:p>
      <w:pPr>
        <w:spacing w:after="0" w:line="365" w:lineRule="exact"/>
        <w:rPr>
          <w:sz w:val="20"/>
          <w:szCs w:val="20"/>
          <w:color w:val="auto"/>
        </w:rPr>
      </w:pPr>
    </w:p>
    <w:p>
      <w:pPr>
        <w:ind w:left="1740" w:right="200" w:hanging="423"/>
        <w:spacing w:after="0" w:line="254" w:lineRule="auto"/>
        <w:tabs>
          <w:tab w:leader="none" w:pos="1740" w:val="left"/>
        </w:tabs>
        <w:numPr>
          <w:ilvl w:val="0"/>
          <w:numId w:val="17"/>
        </w:numPr>
        <w:rPr>
          <w:rFonts w:ascii="Courier New" w:cs="Courier New" w:eastAsia="Courier New" w:hAnsi="Courier New"/>
          <w:sz w:val="18"/>
          <w:szCs w:val="18"/>
          <w:color w:val="auto"/>
        </w:rPr>
      </w:pPr>
      <w:r>
        <w:rPr>
          <w:rFonts w:ascii="Arial" w:cs="Arial" w:eastAsia="Arial" w:hAnsi="Arial"/>
          <w:sz w:val="18"/>
          <w:szCs w:val="18"/>
          <w:color w:val="auto"/>
        </w:rPr>
        <w:t>We have entered into, and may seek additional, collaborations with third parties for the development or commercialization of our product candidates. If those collaborations are not successful, we may not be able to capitalize on the market potential of these product candidates.</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26" w:name="page27"/>
    <w:bookmarkEnd w:id="26"/>
    <w:p>
      <w:pPr>
        <w:ind w:left="620" w:hanging="605"/>
        <w:spacing w:after="0"/>
        <w:tabs>
          <w:tab w:leader="none" w:pos="620" w:val="left"/>
        </w:tabs>
        <w:numPr>
          <w:ilvl w:val="0"/>
          <w:numId w:val="18"/>
        </w:numPr>
        <w:rPr>
          <w:rFonts w:ascii="Arial" w:cs="Arial" w:eastAsia="Arial" w:hAnsi="Arial"/>
          <w:sz w:val="18"/>
          <w:szCs w:val="18"/>
          <w:color w:val="auto"/>
        </w:rPr>
      </w:pPr>
      <w:r>
        <w:rPr>
          <w:rFonts w:ascii="Arial" w:cs="Arial" w:eastAsia="Arial" w:hAnsi="Arial"/>
          <w:sz w:val="18"/>
          <w:szCs w:val="18"/>
          <w:b w:val="1"/>
          <w:bCs w:val="1"/>
          <w:color w:val="auto"/>
        </w:rPr>
        <w:t>Risks Related to Our Intellectual Property</w:t>
      </w:r>
    </w:p>
    <w:p>
      <w:pPr>
        <w:spacing w:after="0" w:line="121" w:lineRule="exact"/>
        <w:rPr>
          <w:sz w:val="20"/>
          <w:szCs w:val="20"/>
          <w:color w:val="auto"/>
        </w:rPr>
      </w:pPr>
    </w:p>
    <w:p>
      <w:pPr>
        <w:ind w:left="1160" w:right="200" w:hanging="429"/>
        <w:spacing w:after="0" w:line="259" w:lineRule="auto"/>
        <w:tabs>
          <w:tab w:leader="none" w:pos="1160" w:val="left"/>
        </w:tabs>
        <w:numPr>
          <w:ilvl w:val="1"/>
          <w:numId w:val="19"/>
        </w:numPr>
        <w:rPr>
          <w:rFonts w:ascii="Courier New" w:cs="Courier New" w:eastAsia="Courier New" w:hAnsi="Courier New"/>
          <w:sz w:val="18"/>
          <w:szCs w:val="18"/>
          <w:color w:val="auto"/>
        </w:rPr>
      </w:pPr>
      <w:r>
        <w:rPr>
          <w:rFonts w:ascii="Arial" w:cs="Arial" w:eastAsia="Arial" w:hAnsi="Arial"/>
          <w:sz w:val="18"/>
          <w:szCs w:val="18"/>
          <w:color w:val="auto"/>
        </w:rPr>
        <w:t>If we are unable to obtain or protect intellectual property rights related to any of our product candidates, we may not be able to compete effectively in our market.</w:t>
      </w:r>
    </w:p>
    <w:p>
      <w:pPr>
        <w:spacing w:after="0" w:line="200" w:lineRule="exact"/>
        <w:rPr>
          <w:rFonts w:ascii="Courier New" w:cs="Courier New" w:eastAsia="Courier New" w:hAnsi="Courier New"/>
          <w:sz w:val="18"/>
          <w:szCs w:val="18"/>
          <w:color w:val="auto"/>
        </w:rPr>
      </w:pPr>
    </w:p>
    <w:p>
      <w:pPr>
        <w:spacing w:after="0" w:line="371" w:lineRule="exact"/>
        <w:rPr>
          <w:rFonts w:ascii="Courier New" w:cs="Courier New" w:eastAsia="Courier New" w:hAnsi="Courier New"/>
          <w:sz w:val="18"/>
          <w:szCs w:val="18"/>
          <w:color w:val="auto"/>
        </w:rPr>
      </w:pPr>
    </w:p>
    <w:p>
      <w:pPr>
        <w:ind w:left="600" w:hanging="598"/>
        <w:spacing w:after="0"/>
        <w:tabs>
          <w:tab w:leader="none" w:pos="600" w:val="left"/>
        </w:tabs>
        <w:numPr>
          <w:ilvl w:val="0"/>
          <w:numId w:val="19"/>
        </w:numPr>
        <w:rPr>
          <w:rFonts w:ascii="Arial" w:cs="Arial" w:eastAsia="Arial" w:hAnsi="Arial"/>
          <w:sz w:val="18"/>
          <w:szCs w:val="18"/>
          <w:color w:val="auto"/>
        </w:rPr>
      </w:pPr>
      <w:r>
        <w:rPr>
          <w:rFonts w:ascii="Arial" w:cs="Arial" w:eastAsia="Arial" w:hAnsi="Arial"/>
          <w:sz w:val="18"/>
          <w:szCs w:val="18"/>
          <w:b w:val="1"/>
          <w:bCs w:val="1"/>
          <w:color w:val="auto"/>
        </w:rPr>
        <w:t>Risks Related to Legal and Regulatory Compliance Matters</w:t>
      </w:r>
    </w:p>
    <w:p>
      <w:pPr>
        <w:spacing w:after="0" w:line="121" w:lineRule="exact"/>
        <w:rPr>
          <w:sz w:val="20"/>
          <w:szCs w:val="20"/>
          <w:color w:val="auto"/>
        </w:rPr>
      </w:pPr>
    </w:p>
    <w:p>
      <w:pPr>
        <w:ind w:left="1140" w:right="300" w:hanging="436"/>
        <w:spacing w:after="0" w:line="323" w:lineRule="auto"/>
        <w:tabs>
          <w:tab w:leader="none" w:pos="1140" w:val="left"/>
        </w:tabs>
        <w:numPr>
          <w:ilvl w:val="1"/>
          <w:numId w:val="20"/>
        </w:numPr>
        <w:rPr>
          <w:rFonts w:ascii="Courier New" w:cs="Courier New" w:eastAsia="Courier New" w:hAnsi="Courier New"/>
          <w:sz w:val="16"/>
          <w:szCs w:val="16"/>
          <w:color w:val="auto"/>
        </w:rPr>
      </w:pPr>
      <w:r>
        <w:rPr>
          <w:rFonts w:ascii="Arial" w:cs="Arial" w:eastAsia="Arial" w:hAnsi="Arial"/>
          <w:sz w:val="16"/>
          <w:szCs w:val="16"/>
          <w:color w:val="auto"/>
        </w:rPr>
        <w:t>We expect to expand our development and regulatory capabilities and potentially implement sales, marketing and distribution capabilities, and as a result, we may encounter difficulties in managing our growth, which could disrupt our operations.</w:t>
      </w:r>
    </w:p>
    <w:p>
      <w:pPr>
        <w:spacing w:after="0" w:line="200" w:lineRule="exact"/>
        <w:rPr>
          <w:rFonts w:ascii="Courier New" w:cs="Courier New" w:eastAsia="Courier New" w:hAnsi="Courier New"/>
          <w:sz w:val="16"/>
          <w:szCs w:val="16"/>
          <w:color w:val="auto"/>
        </w:rPr>
      </w:pPr>
    </w:p>
    <w:p>
      <w:pPr>
        <w:spacing w:after="0" w:line="321" w:lineRule="exact"/>
        <w:rPr>
          <w:rFonts w:ascii="Courier New" w:cs="Courier New" w:eastAsia="Courier New" w:hAnsi="Courier New"/>
          <w:sz w:val="16"/>
          <w:szCs w:val="16"/>
          <w:color w:val="auto"/>
        </w:rPr>
      </w:pPr>
    </w:p>
    <w:p>
      <w:pPr>
        <w:ind w:left="600" w:hanging="598"/>
        <w:spacing w:after="0"/>
        <w:tabs>
          <w:tab w:leader="none" w:pos="600" w:val="left"/>
        </w:tabs>
        <w:numPr>
          <w:ilvl w:val="0"/>
          <w:numId w:val="20"/>
        </w:numPr>
        <w:rPr>
          <w:rFonts w:ascii="Arial" w:cs="Arial" w:eastAsia="Arial" w:hAnsi="Arial"/>
          <w:sz w:val="18"/>
          <w:szCs w:val="18"/>
          <w:color w:val="auto"/>
        </w:rPr>
      </w:pPr>
      <w:r>
        <w:rPr>
          <w:rFonts w:ascii="Arial" w:cs="Arial" w:eastAsia="Arial" w:hAnsi="Arial"/>
          <w:sz w:val="18"/>
          <w:szCs w:val="18"/>
          <w:b w:val="1"/>
          <w:bCs w:val="1"/>
          <w:color w:val="auto"/>
        </w:rPr>
        <w:t>Risks Related to Employee Matters and Managing Our Growth</w:t>
      </w:r>
    </w:p>
    <w:p>
      <w:pPr>
        <w:spacing w:after="0" w:line="337" w:lineRule="exact"/>
        <w:rPr>
          <w:rFonts w:ascii="Arial" w:cs="Arial" w:eastAsia="Arial" w:hAnsi="Arial"/>
          <w:sz w:val="18"/>
          <w:szCs w:val="18"/>
          <w:color w:val="auto"/>
        </w:rPr>
      </w:pPr>
    </w:p>
    <w:p>
      <w:pPr>
        <w:ind w:left="1140" w:right="300" w:hanging="436"/>
        <w:spacing w:after="0" w:line="323" w:lineRule="auto"/>
        <w:tabs>
          <w:tab w:leader="none" w:pos="1140" w:val="left"/>
        </w:tabs>
        <w:numPr>
          <w:ilvl w:val="1"/>
          <w:numId w:val="20"/>
        </w:numPr>
        <w:rPr>
          <w:rFonts w:ascii="Courier New" w:cs="Courier New" w:eastAsia="Courier New" w:hAnsi="Courier New"/>
          <w:sz w:val="16"/>
          <w:szCs w:val="16"/>
          <w:color w:val="auto"/>
        </w:rPr>
      </w:pPr>
      <w:r>
        <w:rPr>
          <w:rFonts w:ascii="Arial" w:cs="Arial" w:eastAsia="Arial" w:hAnsi="Arial"/>
          <w:sz w:val="16"/>
          <w:szCs w:val="16"/>
          <w:color w:val="auto"/>
        </w:rPr>
        <w:t>We expect to expand our development and regulatory capabilities and potentially implement sales, marketing and distribution capabilities, and as a result, we may encounter difficulties in managing our growth, which could disrupt our operations.</w:t>
      </w:r>
    </w:p>
    <w:p>
      <w:pPr>
        <w:spacing w:after="0" w:line="200" w:lineRule="exact"/>
        <w:rPr>
          <w:rFonts w:ascii="Courier New" w:cs="Courier New" w:eastAsia="Courier New" w:hAnsi="Courier New"/>
          <w:sz w:val="16"/>
          <w:szCs w:val="16"/>
          <w:color w:val="auto"/>
        </w:rPr>
      </w:pPr>
    </w:p>
    <w:p>
      <w:pPr>
        <w:spacing w:after="0" w:line="321" w:lineRule="exact"/>
        <w:rPr>
          <w:rFonts w:ascii="Courier New" w:cs="Courier New" w:eastAsia="Courier New" w:hAnsi="Courier New"/>
          <w:sz w:val="16"/>
          <w:szCs w:val="16"/>
          <w:color w:val="auto"/>
        </w:rPr>
      </w:pPr>
    </w:p>
    <w:p>
      <w:pPr>
        <w:ind w:left="600" w:hanging="598"/>
        <w:spacing w:after="0"/>
        <w:tabs>
          <w:tab w:leader="none" w:pos="600" w:val="left"/>
        </w:tabs>
        <w:numPr>
          <w:ilvl w:val="0"/>
          <w:numId w:val="20"/>
        </w:numPr>
        <w:rPr>
          <w:rFonts w:ascii="Arial" w:cs="Arial" w:eastAsia="Arial" w:hAnsi="Arial"/>
          <w:sz w:val="18"/>
          <w:szCs w:val="18"/>
          <w:color w:val="auto"/>
        </w:rPr>
      </w:pPr>
      <w:r>
        <w:rPr>
          <w:rFonts w:ascii="Arial" w:cs="Arial" w:eastAsia="Arial" w:hAnsi="Arial"/>
          <w:sz w:val="18"/>
          <w:szCs w:val="18"/>
          <w:b w:val="1"/>
          <w:bCs w:val="1"/>
          <w:color w:val="auto"/>
        </w:rPr>
        <w:t>Risks Related to Ownership of Our Common Stock and Our Status as a Public Company</w:t>
      </w:r>
    </w:p>
    <w:p>
      <w:pPr>
        <w:spacing w:after="0" w:line="337" w:lineRule="exact"/>
        <w:rPr>
          <w:rFonts w:ascii="Arial" w:cs="Arial" w:eastAsia="Arial" w:hAnsi="Arial"/>
          <w:sz w:val="18"/>
          <w:szCs w:val="18"/>
          <w:color w:val="auto"/>
        </w:rPr>
      </w:pPr>
    </w:p>
    <w:p>
      <w:pPr>
        <w:ind w:left="1140" w:hanging="436"/>
        <w:spacing w:after="0" w:line="259" w:lineRule="auto"/>
        <w:tabs>
          <w:tab w:leader="none" w:pos="1140" w:val="left"/>
        </w:tabs>
        <w:numPr>
          <w:ilvl w:val="1"/>
          <w:numId w:val="20"/>
        </w:numPr>
        <w:rPr>
          <w:rFonts w:ascii="Courier New" w:cs="Courier New" w:eastAsia="Courier New" w:hAnsi="Courier New"/>
          <w:sz w:val="18"/>
          <w:szCs w:val="18"/>
          <w:color w:val="auto"/>
        </w:rPr>
      </w:pPr>
      <w:r>
        <w:rPr>
          <w:rFonts w:ascii="Arial" w:cs="Arial" w:eastAsia="Arial" w:hAnsi="Arial"/>
          <w:sz w:val="18"/>
          <w:szCs w:val="18"/>
          <w:color w:val="auto"/>
        </w:rPr>
        <w:t>The trading price of the shares of our common stock may be volatile, and purchasers of our common stock could incur substantial losses.</w:t>
      </w:r>
    </w:p>
    <w:p>
      <w:pPr>
        <w:spacing w:after="0" w:line="200" w:lineRule="exact"/>
        <w:rPr>
          <w:sz w:val="20"/>
          <w:szCs w:val="20"/>
          <w:color w:val="auto"/>
        </w:rPr>
      </w:pPr>
    </w:p>
    <w:p>
      <w:pPr>
        <w:spacing w:after="0" w:line="308"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-387985</wp:posOffset>
            </wp:positionH>
            <wp:positionV relativeFrom="paragraph">
              <wp:posOffset>70485</wp:posOffset>
            </wp:positionV>
            <wp:extent cx="715772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80"/>
          </w:cols>
          <w:pgMar w:left="920" w:top="661" w:right="499" w:bottom="1440" w:gutter="0" w:footer="0" w:header="0"/>
        </w:sectPr>
      </w:pPr>
    </w:p>
    <w:bookmarkStart w:id="27" w:name="page28"/>
    <w:bookmarkEnd w:id="27"/>
    <w:p>
      <w:pPr>
        <w:spacing w:after="0"/>
        <w:tabs>
          <w:tab w:leader="none" w:pos="10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Recent Sales of Unregistered Securities and Use of Proceeds</w:t>
      </w:r>
    </w:p>
    <w:p>
      <w:pPr>
        <w:spacing w:after="0" w:line="117" w:lineRule="exact"/>
        <w:rPr>
          <w:sz w:val="20"/>
          <w:szCs w:val="20"/>
          <w:color w:val="auto"/>
        </w:rPr>
      </w:pPr>
    </w:p>
    <w:p>
      <w:pPr>
        <w:ind w:left="520" w:right="6319" w:hanging="512"/>
        <w:spacing w:after="0" w:line="407" w:lineRule="auto"/>
        <w:tabs>
          <w:tab w:leader="none" w:pos="265" w:val="left"/>
        </w:tabs>
        <w:numPr>
          <w:ilvl w:val="0"/>
          <w:numId w:val="21"/>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Recent Sales of Unregistered Equity Securities </w:t>
      </w:r>
      <w:r>
        <w:rPr>
          <w:rFonts w:ascii="Arial" w:cs="Arial" w:eastAsia="Arial" w:hAnsi="Arial"/>
          <w:sz w:val="18"/>
          <w:szCs w:val="18"/>
          <w:color w:val="auto"/>
        </w:rPr>
        <w:t>None.</w:t>
      </w:r>
    </w:p>
    <w:p>
      <w:pPr>
        <w:spacing w:after="0" w:line="161" w:lineRule="exact"/>
        <w:rPr>
          <w:rFonts w:ascii="Arial" w:cs="Arial" w:eastAsia="Arial" w:hAnsi="Arial"/>
          <w:sz w:val="18"/>
          <w:szCs w:val="18"/>
          <w:b w:val="1"/>
          <w:bCs w:val="1"/>
          <w:color w:val="auto"/>
        </w:rPr>
      </w:pPr>
    </w:p>
    <w:p>
      <w:pPr>
        <w:ind w:left="520" w:right="5059" w:hanging="512"/>
        <w:spacing w:after="0" w:line="407" w:lineRule="auto"/>
        <w:tabs>
          <w:tab w:leader="none" w:pos="275" w:val="left"/>
        </w:tabs>
        <w:numPr>
          <w:ilvl w:val="0"/>
          <w:numId w:val="21"/>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Use of Proceeds from Initial Public Offering of Common Stock </w:t>
      </w:r>
      <w:r>
        <w:rPr>
          <w:rFonts w:ascii="Arial" w:cs="Arial" w:eastAsia="Arial" w:hAnsi="Arial"/>
          <w:sz w:val="18"/>
          <w:szCs w:val="18"/>
          <w:color w:val="auto"/>
        </w:rPr>
        <w:t>Not applicable.</w:t>
      </w:r>
    </w:p>
    <w:p>
      <w:pPr>
        <w:spacing w:after="0" w:line="161" w:lineRule="exact"/>
        <w:rPr>
          <w:rFonts w:ascii="Arial" w:cs="Arial" w:eastAsia="Arial" w:hAnsi="Arial"/>
          <w:sz w:val="18"/>
          <w:szCs w:val="18"/>
          <w:b w:val="1"/>
          <w:bCs w:val="1"/>
          <w:color w:val="auto"/>
        </w:rPr>
      </w:pPr>
    </w:p>
    <w:p>
      <w:pPr>
        <w:ind w:left="260" w:hanging="252"/>
        <w:spacing w:after="0"/>
        <w:tabs>
          <w:tab w:leader="none" w:pos="260" w:val="left"/>
        </w:tabs>
        <w:numPr>
          <w:ilvl w:val="0"/>
          <w:numId w:val="21"/>
        </w:numPr>
        <w:rPr>
          <w:rFonts w:ascii="Arial" w:cs="Arial" w:eastAsia="Arial" w:hAnsi="Arial"/>
          <w:sz w:val="18"/>
          <w:szCs w:val="18"/>
          <w:b w:val="1"/>
          <w:bCs w:val="1"/>
          <w:color w:val="auto"/>
        </w:rPr>
      </w:pPr>
      <w:r>
        <w:rPr>
          <w:rFonts w:ascii="Arial" w:cs="Arial" w:eastAsia="Arial" w:hAnsi="Arial"/>
          <w:sz w:val="18"/>
          <w:szCs w:val="18"/>
          <w:b w:val="1"/>
          <w:bCs w:val="1"/>
          <w:color w:val="auto"/>
        </w:rPr>
        <w:t>Issuer Purchases of Equity Securities</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spacing w:after="0"/>
        <w:tabs>
          <w:tab w:leader="none" w:pos="10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Defaults Upon Senior Securities</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spacing w:after="0"/>
        <w:tabs>
          <w:tab w:leader="none" w:pos="10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Mine Safety Disclosures</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Not applicable.</w:t>
      </w:r>
    </w:p>
    <w:p>
      <w:pPr>
        <w:spacing w:after="0" w:line="329" w:lineRule="exact"/>
        <w:rPr>
          <w:sz w:val="20"/>
          <w:szCs w:val="20"/>
          <w:color w:val="auto"/>
        </w:rPr>
      </w:pPr>
    </w:p>
    <w:p>
      <w:pPr>
        <w:spacing w:after="0"/>
        <w:tabs>
          <w:tab w:leader="none" w:pos="100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7"/>
          <w:szCs w:val="17"/>
          <w:b w:val="1"/>
          <w:bCs w:val="1"/>
          <w:color w:val="auto"/>
        </w:rPr>
        <w:t>Other Information</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Not applicable.</w:t>
      </w:r>
    </w:p>
    <w:p>
      <w:pPr>
        <w:spacing w:after="0" w:line="329" w:lineRule="exact"/>
        <w:rPr>
          <w:sz w:val="20"/>
          <w:szCs w:val="20"/>
          <w:color w:val="auto"/>
        </w:rPr>
      </w:pPr>
    </w:p>
    <w:p>
      <w:pPr>
        <w:spacing w:after="0"/>
        <w:tabs>
          <w:tab w:leader="none" w:pos="10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Exhibits</w:t>
      </w:r>
    </w:p>
    <w:p>
      <w:pPr>
        <w:spacing w:after="0" w:line="229" w:lineRule="exact"/>
        <w:rPr>
          <w:sz w:val="20"/>
          <w:szCs w:val="20"/>
          <w:color w:val="auto"/>
        </w:rPr>
      </w:pPr>
    </w:p>
    <w:p>
      <w:pPr>
        <w:jc w:val="right"/>
        <w:ind w:right="44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39"/>
          </w:cols>
          <w:pgMar w:left="320" w:top="553" w:right="1440" w:bottom="1440" w:gutter="0" w:footer="0" w:header="0"/>
        </w:sectPr>
      </w:pPr>
    </w:p>
    <w:bookmarkStart w:id="28" w:name="page29"/>
    <w:bookmarkEnd w:id="28"/>
    <w:tbl>
      <w:tblPr>
        <w:tblLayout w:type="fixed"/>
        <w:tblInd w:w="52" w:type="dxa"/>
        <w:tblCellMar>
          <w:top w:w="0" w:type="dxa"/>
          <w:left w:w="0" w:type="dxa"/>
          <w:bottom w:w="0" w:type="dxa"/>
          <w:right w:w="0" w:type="dxa"/>
        </w:tblCellMar>
      </w:tblPr>
      <w:tr>
        <w:trPr>
          <w:trHeight w:val="207"/>
        </w:trPr>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6480" w:type="dxa"/>
            <w:vAlign w:val="bottom"/>
            <w:gridSpan w:val="8"/>
          </w:tcPr>
          <w:p>
            <w:pPr>
              <w:ind w:left="240"/>
              <w:spacing w:after="0"/>
              <w:rPr>
                <w:sz w:val="20"/>
                <w:szCs w:val="20"/>
                <w:color w:val="auto"/>
              </w:rPr>
            </w:pPr>
            <w:r>
              <w:rPr>
                <w:rFonts w:ascii="Arial" w:cs="Arial" w:eastAsia="Arial" w:hAnsi="Arial"/>
                <w:sz w:val="18"/>
                <w:szCs w:val="18"/>
                <w:color w:val="auto"/>
              </w:rPr>
              <w:t>EXHIBIT INDEX</w:t>
            </w:r>
          </w:p>
        </w:tc>
      </w:tr>
      <w:tr>
        <w:trPr>
          <w:trHeight w:val="372"/>
        </w:trPr>
        <w:tc>
          <w:tcPr>
            <w:tcW w:w="800" w:type="dxa"/>
            <w:vAlign w:val="bottom"/>
          </w:tcPr>
          <w:p>
            <w:pPr>
              <w:ind w:left="180"/>
              <w:spacing w:after="0"/>
              <w:rPr>
                <w:sz w:val="20"/>
                <w:szCs w:val="20"/>
                <w:color w:val="auto"/>
              </w:rPr>
            </w:pPr>
            <w:r>
              <w:rPr>
                <w:rFonts w:ascii="Arial" w:cs="Arial" w:eastAsia="Arial" w:hAnsi="Arial"/>
                <w:sz w:val="13"/>
                <w:szCs w:val="13"/>
                <w:b w:val="1"/>
                <w:bCs w:val="1"/>
                <w:color w:val="auto"/>
              </w:rPr>
              <w:t>Exhibit</w:t>
            </w:r>
          </w:p>
        </w:tc>
        <w:tc>
          <w:tcPr>
            <w:tcW w:w="1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20" w:type="dxa"/>
            <w:vAlign w:val="bottom"/>
            <w:tcBorders>
              <w:top w:val="single" w:sz="8" w:color="auto"/>
            </w:tcBorders>
          </w:tcPr>
          <w:p>
            <w:pPr>
              <w:spacing w:after="0"/>
              <w:rPr>
                <w:sz w:val="24"/>
                <w:szCs w:val="24"/>
                <w:color w:val="auto"/>
              </w:rPr>
            </w:pPr>
          </w:p>
        </w:tc>
        <w:tc>
          <w:tcPr>
            <w:tcW w:w="960" w:type="dxa"/>
            <w:vAlign w:val="bottom"/>
          </w:tcPr>
          <w:p>
            <w:pPr>
              <w:spacing w:after="0"/>
              <w:rPr>
                <w:sz w:val="24"/>
                <w:szCs w:val="24"/>
                <w:color w:val="auto"/>
              </w:rPr>
            </w:pPr>
          </w:p>
        </w:tc>
        <w:tc>
          <w:tcPr>
            <w:tcW w:w="3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r>
      <w:tr>
        <w:trPr>
          <w:trHeight w:val="161"/>
        </w:trPr>
        <w:tc>
          <w:tcPr>
            <w:tcW w:w="800" w:type="dxa"/>
            <w:vAlign w:val="bottom"/>
            <w:tcBorders>
              <w:bottom w:val="single" w:sz="8" w:color="auto"/>
            </w:tcBorders>
          </w:tcPr>
          <w:p>
            <w:pPr>
              <w:ind w:left="300"/>
              <w:spacing w:after="0"/>
              <w:rPr>
                <w:sz w:val="20"/>
                <w:szCs w:val="20"/>
                <w:color w:val="auto"/>
              </w:rPr>
            </w:pPr>
            <w:r>
              <w:rPr>
                <w:rFonts w:ascii="Arial" w:cs="Arial" w:eastAsia="Arial" w:hAnsi="Arial"/>
                <w:sz w:val="13"/>
                <w:szCs w:val="13"/>
                <w:b w:val="1"/>
                <w:bCs w:val="1"/>
                <w:color w:val="auto"/>
              </w:rPr>
              <w:t>No.</w:t>
            </w:r>
          </w:p>
        </w:tc>
        <w:tc>
          <w:tcPr>
            <w:tcW w:w="120" w:type="dxa"/>
            <w:vAlign w:val="bottom"/>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6240" w:type="dxa"/>
            <w:vAlign w:val="bottom"/>
            <w:tcBorders>
              <w:bottom w:val="single" w:sz="8" w:color="auto"/>
            </w:tcBorders>
            <w:gridSpan w:val="7"/>
          </w:tcPr>
          <w:p>
            <w:pPr>
              <w:ind w:left="780"/>
              <w:spacing w:after="0"/>
              <w:rPr>
                <w:sz w:val="20"/>
                <w:szCs w:val="20"/>
                <w:color w:val="auto"/>
              </w:rPr>
            </w:pPr>
            <w:r>
              <w:rPr>
                <w:rFonts w:ascii="Arial" w:cs="Arial" w:eastAsia="Arial" w:hAnsi="Arial"/>
                <w:sz w:val="13"/>
                <w:szCs w:val="13"/>
                <w:b w:val="1"/>
                <w:bCs w:val="1"/>
                <w:color w:val="auto"/>
              </w:rPr>
              <w:t>Description</w:t>
            </w:r>
          </w:p>
        </w:tc>
      </w:tr>
      <w:tr>
        <w:trPr>
          <w:trHeight w:val="291"/>
        </w:trPr>
        <w:tc>
          <w:tcPr>
            <w:tcW w:w="800" w:type="dxa"/>
            <w:vAlign w:val="bottom"/>
          </w:tcPr>
          <w:p>
            <w:pPr>
              <w:spacing w:after="0"/>
              <w:rPr>
                <w:sz w:val="20"/>
                <w:szCs w:val="20"/>
                <w:color w:val="auto"/>
              </w:rPr>
            </w:pPr>
            <w:r>
              <w:rPr>
                <w:rFonts w:ascii="Arial" w:cs="Arial" w:eastAsia="Arial" w:hAnsi="Arial"/>
                <w:sz w:val="18"/>
                <w:szCs w:val="18"/>
                <w:color w:val="auto"/>
              </w:rPr>
              <w:t xml:space="preserve">3.1 </w:t>
            </w:r>
            <w:r>
              <w:rPr>
                <w:rFonts w:ascii="Arial" w:cs="Arial" w:eastAsia="Arial" w:hAnsi="Arial"/>
                <w:sz w:val="15"/>
                <w:szCs w:val="15"/>
                <w:color w:val="auto"/>
              </w:rPr>
              <w:t>(1)</w:t>
            </w:r>
          </w:p>
        </w:tc>
        <w:tc>
          <w:tcPr>
            <w:tcW w:w="120" w:type="dxa"/>
            <w:vAlign w:val="bottom"/>
          </w:tcPr>
          <w:p>
            <w:pPr>
              <w:spacing w:after="0"/>
              <w:rPr>
                <w:sz w:val="24"/>
                <w:szCs w:val="24"/>
                <w:color w:val="auto"/>
              </w:rPr>
            </w:pPr>
          </w:p>
        </w:tc>
        <w:tc>
          <w:tcPr>
            <w:tcW w:w="3740" w:type="dxa"/>
            <w:vAlign w:val="bottom"/>
            <w:tcBorders>
              <w:bottom w:val="single" w:sz="8" w:color="0000EE"/>
            </w:tcBorders>
            <w:gridSpan w:val="4"/>
          </w:tcPr>
          <w:p>
            <w:pPr>
              <w:spacing w:after="0"/>
              <w:rPr>
                <w:rFonts w:ascii="Arial" w:cs="Arial" w:eastAsia="Arial" w:hAnsi="Arial"/>
                <w:sz w:val="18"/>
                <w:szCs w:val="18"/>
                <w:color w:val="0000EE"/>
                <w:w w:val="90"/>
              </w:rPr>
            </w:pPr>
            <w:hyperlink r:id="rId49">
              <w:r>
                <w:rPr>
                  <w:rFonts w:ascii="Arial" w:cs="Arial" w:eastAsia="Arial" w:hAnsi="Arial"/>
                  <w:sz w:val="18"/>
                  <w:szCs w:val="18"/>
                  <w:color w:val="0000EE"/>
                  <w:w w:val="90"/>
                </w:rPr>
                <w:t>Amended and Restated Certificate of Incorporation.</w:t>
              </w:r>
            </w:hyperlink>
          </w:p>
        </w:tc>
        <w:tc>
          <w:tcPr>
            <w:tcW w:w="6480" w:type="dxa"/>
            <w:vAlign w:val="bottom"/>
            <w:gridSpan w:val="8"/>
          </w:tcPr>
          <w:p>
            <w:pPr>
              <w:spacing w:after="0"/>
              <w:rPr>
                <w:sz w:val="24"/>
                <w:szCs w:val="24"/>
                <w:color w:val="auto"/>
              </w:rPr>
            </w:pPr>
          </w:p>
        </w:tc>
      </w:tr>
      <w:tr>
        <w:trPr>
          <w:trHeight w:val="318"/>
        </w:trPr>
        <w:tc>
          <w:tcPr>
            <w:tcW w:w="800" w:type="dxa"/>
            <w:vAlign w:val="bottom"/>
          </w:tcPr>
          <w:p>
            <w:pPr>
              <w:spacing w:after="0"/>
              <w:rPr>
                <w:sz w:val="20"/>
                <w:szCs w:val="20"/>
                <w:color w:val="auto"/>
              </w:rPr>
            </w:pPr>
            <w:r>
              <w:rPr>
                <w:rFonts w:ascii="Arial" w:cs="Arial" w:eastAsia="Arial" w:hAnsi="Arial"/>
                <w:sz w:val="18"/>
                <w:szCs w:val="18"/>
                <w:color w:val="auto"/>
              </w:rPr>
              <w:t xml:space="preserve">3.2 </w:t>
            </w:r>
            <w:r>
              <w:rPr>
                <w:rFonts w:ascii="Arial" w:cs="Arial" w:eastAsia="Arial" w:hAnsi="Arial"/>
                <w:sz w:val="15"/>
                <w:szCs w:val="15"/>
                <w:color w:val="auto"/>
              </w:rPr>
              <w:t>(2)</w:t>
            </w:r>
          </w:p>
        </w:tc>
        <w:tc>
          <w:tcPr>
            <w:tcW w:w="120" w:type="dxa"/>
            <w:vAlign w:val="bottom"/>
          </w:tcPr>
          <w:p>
            <w:pPr>
              <w:spacing w:after="0"/>
              <w:rPr>
                <w:sz w:val="24"/>
                <w:szCs w:val="24"/>
                <w:color w:val="auto"/>
              </w:rPr>
            </w:pPr>
          </w:p>
        </w:tc>
        <w:tc>
          <w:tcPr>
            <w:tcW w:w="2300" w:type="dxa"/>
            <w:vAlign w:val="bottom"/>
            <w:tcBorders>
              <w:bottom w:val="single" w:sz="8" w:color="0000EE"/>
            </w:tcBorders>
            <w:gridSpan w:val="3"/>
          </w:tcPr>
          <w:p>
            <w:pPr>
              <w:spacing w:after="0"/>
              <w:rPr>
                <w:rFonts w:ascii="Arial" w:cs="Arial" w:eastAsia="Arial" w:hAnsi="Arial"/>
                <w:sz w:val="18"/>
                <w:szCs w:val="18"/>
                <w:color w:val="0000EE"/>
                <w:w w:val="88"/>
              </w:rPr>
            </w:pPr>
            <w:hyperlink r:id="rId50">
              <w:r>
                <w:rPr>
                  <w:rFonts w:ascii="Arial" w:cs="Arial" w:eastAsia="Arial" w:hAnsi="Arial"/>
                  <w:sz w:val="18"/>
                  <w:szCs w:val="18"/>
                  <w:color w:val="0000EE"/>
                  <w:w w:val="88"/>
                </w:rPr>
                <w:t>Amended and Restated Bylaws.</w:t>
              </w:r>
            </w:hyperlink>
          </w:p>
        </w:tc>
        <w:tc>
          <w:tcPr>
            <w:tcW w:w="7920" w:type="dxa"/>
            <w:vAlign w:val="bottom"/>
            <w:gridSpan w:val="9"/>
          </w:tcPr>
          <w:p>
            <w:pPr>
              <w:spacing w:after="0"/>
              <w:rPr>
                <w:sz w:val="24"/>
                <w:szCs w:val="24"/>
                <w:color w:val="auto"/>
              </w:rPr>
            </w:pPr>
          </w:p>
        </w:tc>
      </w:tr>
      <w:tr>
        <w:trPr>
          <w:trHeight w:val="318"/>
        </w:trPr>
        <w:tc>
          <w:tcPr>
            <w:tcW w:w="800" w:type="dxa"/>
            <w:vAlign w:val="bottom"/>
          </w:tcPr>
          <w:p>
            <w:pPr>
              <w:spacing w:after="0"/>
              <w:rPr>
                <w:sz w:val="20"/>
                <w:szCs w:val="20"/>
                <w:color w:val="auto"/>
              </w:rPr>
            </w:pPr>
            <w:r>
              <w:rPr>
                <w:rFonts w:ascii="Arial" w:cs="Arial" w:eastAsia="Arial" w:hAnsi="Arial"/>
                <w:sz w:val="18"/>
                <w:szCs w:val="18"/>
                <w:color w:val="auto"/>
              </w:rPr>
              <w:t>10.1</w:t>
            </w:r>
          </w:p>
        </w:tc>
        <w:tc>
          <w:tcPr>
            <w:tcW w:w="120" w:type="dxa"/>
            <w:vAlign w:val="bottom"/>
          </w:tcPr>
          <w:p>
            <w:pPr>
              <w:spacing w:after="0"/>
              <w:rPr>
                <w:sz w:val="24"/>
                <w:szCs w:val="24"/>
                <w:color w:val="auto"/>
              </w:rPr>
            </w:pPr>
          </w:p>
        </w:tc>
        <w:tc>
          <w:tcPr>
            <w:tcW w:w="6260" w:type="dxa"/>
            <w:vAlign w:val="bottom"/>
            <w:tcBorders>
              <w:bottom w:val="single" w:sz="8" w:color="0000EE"/>
            </w:tcBorders>
            <w:gridSpan w:val="7"/>
          </w:tcPr>
          <w:p>
            <w:pPr>
              <w:spacing w:after="0"/>
              <w:rPr>
                <w:rFonts w:ascii="Arial" w:cs="Arial" w:eastAsia="Arial" w:hAnsi="Arial"/>
                <w:sz w:val="18"/>
                <w:szCs w:val="18"/>
                <w:color w:val="0000EE"/>
                <w:w w:val="91"/>
              </w:rPr>
            </w:pPr>
            <w:hyperlink w:anchor="page31">
              <w:r>
                <w:rPr>
                  <w:rFonts w:ascii="Arial" w:cs="Arial" w:eastAsia="Arial" w:hAnsi="Arial"/>
                  <w:sz w:val="18"/>
                  <w:szCs w:val="18"/>
                  <w:color w:val="0000EE"/>
                  <w:w w:val="91"/>
                </w:rPr>
                <w:t>Amended and Restated Non-Employee Director Compensation Policy (filed herewith).</w:t>
              </w:r>
            </w:hyperlink>
          </w:p>
        </w:tc>
        <w:tc>
          <w:tcPr>
            <w:tcW w:w="3960" w:type="dxa"/>
            <w:vAlign w:val="bottom"/>
            <w:gridSpan w:val="5"/>
          </w:tcPr>
          <w:p>
            <w:pPr>
              <w:spacing w:after="0"/>
              <w:rPr>
                <w:sz w:val="24"/>
                <w:szCs w:val="24"/>
                <w:color w:val="auto"/>
              </w:rPr>
            </w:pPr>
          </w:p>
        </w:tc>
      </w:tr>
      <w:tr>
        <w:trPr>
          <w:trHeight w:val="318"/>
        </w:trPr>
        <w:tc>
          <w:tcPr>
            <w:tcW w:w="800" w:type="dxa"/>
            <w:vAlign w:val="bottom"/>
          </w:tcPr>
          <w:p>
            <w:pPr>
              <w:spacing w:after="0"/>
              <w:rPr>
                <w:sz w:val="20"/>
                <w:szCs w:val="20"/>
                <w:color w:val="auto"/>
              </w:rPr>
            </w:pPr>
            <w:r>
              <w:rPr>
                <w:rFonts w:ascii="Arial" w:cs="Arial" w:eastAsia="Arial" w:hAnsi="Arial"/>
                <w:sz w:val="18"/>
                <w:szCs w:val="18"/>
                <w:color w:val="auto"/>
              </w:rPr>
              <w:t>31.1</w:t>
            </w:r>
          </w:p>
        </w:tc>
        <w:tc>
          <w:tcPr>
            <w:tcW w:w="120" w:type="dxa"/>
            <w:vAlign w:val="bottom"/>
          </w:tcPr>
          <w:p>
            <w:pPr>
              <w:spacing w:after="0"/>
              <w:rPr>
                <w:sz w:val="24"/>
                <w:szCs w:val="24"/>
                <w:color w:val="auto"/>
              </w:rPr>
            </w:pPr>
          </w:p>
        </w:tc>
        <w:tc>
          <w:tcPr>
            <w:tcW w:w="9980" w:type="dxa"/>
            <w:vAlign w:val="bottom"/>
            <w:tcBorders>
              <w:bottom w:val="single" w:sz="8" w:color="0000EE"/>
            </w:tcBorders>
            <w:gridSpan w:val="11"/>
          </w:tcPr>
          <w:p>
            <w:pPr>
              <w:spacing w:after="0"/>
              <w:rPr>
                <w:rFonts w:ascii="Arial" w:cs="Arial" w:eastAsia="Arial" w:hAnsi="Arial"/>
                <w:sz w:val="18"/>
                <w:szCs w:val="18"/>
                <w:color w:val="0000EE"/>
                <w:w w:val="92"/>
              </w:rPr>
            </w:pPr>
            <w:hyperlink w:anchor="page33">
              <w:r>
                <w:rPr>
                  <w:rFonts w:ascii="Arial" w:cs="Arial" w:eastAsia="Arial" w:hAnsi="Arial"/>
                  <w:sz w:val="18"/>
                  <w:szCs w:val="18"/>
                  <w:color w:val="0000EE"/>
                  <w:w w:val="92"/>
                </w:rPr>
                <w:t>Certification of Chief Executive Officer and President (Principal Executive Officer), pursuant to Section 302 of the Sarbanes-Oxley Act of</w:t>
              </w:r>
            </w:hyperlink>
          </w:p>
        </w:tc>
        <w:tc>
          <w:tcPr>
            <w:tcW w:w="240" w:type="dxa"/>
            <w:vAlign w:val="bottom"/>
          </w:tcPr>
          <w:p>
            <w:pPr>
              <w:spacing w:after="0"/>
              <w:rPr>
                <w:sz w:val="24"/>
                <w:szCs w:val="24"/>
                <w:color w:val="auto"/>
              </w:rPr>
            </w:pPr>
          </w:p>
        </w:tc>
      </w:tr>
      <w:tr>
        <w:trPr>
          <w:trHeight w:val="196"/>
        </w:trPr>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20" w:type="dxa"/>
            <w:vAlign w:val="bottom"/>
            <w:gridSpan w:val="12"/>
          </w:tcPr>
          <w:p>
            <w:pPr>
              <w:spacing w:after="0" w:line="196" w:lineRule="exact"/>
              <w:rPr>
                <w:rFonts w:ascii="Arial" w:cs="Arial" w:eastAsia="Arial" w:hAnsi="Arial"/>
                <w:sz w:val="18"/>
                <w:szCs w:val="18"/>
                <w:color w:val="0000EE"/>
              </w:rPr>
            </w:pPr>
            <w:hyperlink w:anchor="page33">
              <w:r>
                <w:rPr>
                  <w:rFonts w:ascii="Arial" w:cs="Arial" w:eastAsia="Arial" w:hAnsi="Arial"/>
                  <w:sz w:val="18"/>
                  <w:szCs w:val="18"/>
                  <w:color w:val="0000EE"/>
                </w:rPr>
                <w:t>2002 (filed herewith).</w:t>
              </w:r>
            </w:hyperlink>
          </w:p>
        </w:tc>
      </w:tr>
      <w:tr>
        <w:trPr>
          <w:trHeight w:val="20"/>
        </w:trPr>
        <w:tc>
          <w:tcPr>
            <w:tcW w:w="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840" w:type="dxa"/>
            <w:vAlign w:val="bottom"/>
            <w:shd w:val="clear" w:color="auto" w:fill="0000EE"/>
          </w:tcPr>
          <w:p>
            <w:pPr>
              <w:spacing w:after="0" w:line="20" w:lineRule="exact"/>
              <w:rPr>
                <w:sz w:val="1"/>
                <w:szCs w:val="1"/>
                <w:color w:val="auto"/>
              </w:rPr>
            </w:pPr>
          </w:p>
        </w:tc>
        <w:tc>
          <w:tcPr>
            <w:tcW w:w="7800" w:type="dxa"/>
            <w:vAlign w:val="bottom"/>
            <w:gridSpan w:val="6"/>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r>
      <w:tr>
        <w:trPr>
          <w:trHeight w:val="318"/>
        </w:trPr>
        <w:tc>
          <w:tcPr>
            <w:tcW w:w="800" w:type="dxa"/>
            <w:vAlign w:val="bottom"/>
          </w:tcPr>
          <w:p>
            <w:pPr>
              <w:spacing w:after="0"/>
              <w:rPr>
                <w:sz w:val="20"/>
                <w:szCs w:val="20"/>
                <w:color w:val="auto"/>
              </w:rPr>
            </w:pPr>
            <w:r>
              <w:rPr>
                <w:rFonts w:ascii="Arial" w:cs="Arial" w:eastAsia="Arial" w:hAnsi="Arial"/>
                <w:sz w:val="18"/>
                <w:szCs w:val="18"/>
                <w:color w:val="auto"/>
              </w:rPr>
              <w:t>31.2</w:t>
            </w:r>
          </w:p>
        </w:tc>
        <w:tc>
          <w:tcPr>
            <w:tcW w:w="120" w:type="dxa"/>
            <w:vAlign w:val="bottom"/>
          </w:tcPr>
          <w:p>
            <w:pPr>
              <w:spacing w:after="0"/>
              <w:rPr>
                <w:sz w:val="24"/>
                <w:szCs w:val="24"/>
                <w:color w:val="auto"/>
              </w:rPr>
            </w:pPr>
          </w:p>
        </w:tc>
        <w:tc>
          <w:tcPr>
            <w:tcW w:w="9720" w:type="dxa"/>
            <w:vAlign w:val="bottom"/>
            <w:tcBorders>
              <w:bottom w:val="single" w:sz="8" w:color="0000EE"/>
            </w:tcBorders>
            <w:gridSpan w:val="10"/>
          </w:tcPr>
          <w:p>
            <w:pPr>
              <w:spacing w:after="0"/>
              <w:rPr>
                <w:rFonts w:ascii="Arial" w:cs="Arial" w:eastAsia="Arial" w:hAnsi="Arial"/>
                <w:sz w:val="18"/>
                <w:szCs w:val="18"/>
                <w:color w:val="0000EE"/>
                <w:w w:val="93"/>
              </w:rPr>
            </w:pPr>
            <w:hyperlink w:anchor="page34">
              <w:r>
                <w:rPr>
                  <w:rFonts w:ascii="Arial" w:cs="Arial" w:eastAsia="Arial" w:hAnsi="Arial"/>
                  <w:sz w:val="18"/>
                  <w:szCs w:val="18"/>
                  <w:color w:val="0000EE"/>
                  <w:w w:val="93"/>
                </w:rPr>
                <w:t>Certification of Chief Financial Officer (Principal Financial Officer), pursuant to Section 302 of the Sarbanes-Oxley Act of 2002 (filed</w:t>
              </w:r>
            </w:hyperlink>
          </w:p>
        </w:tc>
        <w:tc>
          <w:tcPr>
            <w:tcW w:w="500" w:type="dxa"/>
            <w:vAlign w:val="bottom"/>
            <w:gridSpan w:val="2"/>
          </w:tcPr>
          <w:p>
            <w:pPr>
              <w:spacing w:after="0"/>
              <w:rPr>
                <w:sz w:val="24"/>
                <w:szCs w:val="24"/>
                <w:color w:val="auto"/>
              </w:rPr>
            </w:pPr>
          </w:p>
        </w:tc>
      </w:tr>
      <w:tr>
        <w:trPr>
          <w:trHeight w:val="196"/>
        </w:trPr>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20" w:type="dxa"/>
            <w:vAlign w:val="bottom"/>
            <w:gridSpan w:val="12"/>
          </w:tcPr>
          <w:p>
            <w:pPr>
              <w:spacing w:after="0" w:line="196" w:lineRule="exact"/>
              <w:rPr>
                <w:rFonts w:ascii="Arial" w:cs="Arial" w:eastAsia="Arial" w:hAnsi="Arial"/>
                <w:sz w:val="18"/>
                <w:szCs w:val="18"/>
                <w:color w:val="0000EE"/>
              </w:rPr>
            </w:pPr>
            <w:hyperlink w:anchor="page34">
              <w:r>
                <w:rPr>
                  <w:rFonts w:ascii="Arial" w:cs="Arial" w:eastAsia="Arial" w:hAnsi="Arial"/>
                  <w:sz w:val="18"/>
                  <w:szCs w:val="18"/>
                  <w:color w:val="0000EE"/>
                </w:rPr>
                <w:t>herewith).</w:t>
              </w:r>
            </w:hyperlink>
          </w:p>
        </w:tc>
      </w:tr>
      <w:tr>
        <w:trPr>
          <w:trHeight w:val="20"/>
        </w:trPr>
        <w:tc>
          <w:tcPr>
            <w:tcW w:w="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8640" w:type="dxa"/>
            <w:vAlign w:val="bottom"/>
            <w:gridSpan w:val="7"/>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20" w:type="dxa"/>
            <w:vAlign w:val="bottom"/>
            <w:gridSpan w:val="3"/>
          </w:tcPr>
          <w:p>
            <w:pPr>
              <w:spacing w:after="0" w:line="20" w:lineRule="exact"/>
              <w:rPr>
                <w:sz w:val="1"/>
                <w:szCs w:val="1"/>
                <w:color w:val="auto"/>
              </w:rPr>
            </w:pPr>
          </w:p>
        </w:tc>
      </w:tr>
      <w:tr>
        <w:trPr>
          <w:trHeight w:val="318"/>
        </w:trPr>
        <w:tc>
          <w:tcPr>
            <w:tcW w:w="800" w:type="dxa"/>
            <w:vAlign w:val="bottom"/>
          </w:tcPr>
          <w:p>
            <w:pPr>
              <w:spacing w:after="0"/>
              <w:rPr>
                <w:sz w:val="20"/>
                <w:szCs w:val="20"/>
                <w:color w:val="auto"/>
              </w:rPr>
            </w:pPr>
            <w:r>
              <w:rPr>
                <w:rFonts w:ascii="Arial" w:cs="Arial" w:eastAsia="Arial" w:hAnsi="Arial"/>
                <w:sz w:val="18"/>
                <w:szCs w:val="18"/>
                <w:color w:val="auto"/>
              </w:rPr>
              <w:t>32.1*</w:t>
            </w:r>
          </w:p>
        </w:tc>
        <w:tc>
          <w:tcPr>
            <w:tcW w:w="120" w:type="dxa"/>
            <w:vAlign w:val="bottom"/>
          </w:tcPr>
          <w:p>
            <w:pPr>
              <w:spacing w:after="0"/>
              <w:rPr>
                <w:sz w:val="24"/>
                <w:szCs w:val="24"/>
                <w:color w:val="auto"/>
              </w:rPr>
            </w:pPr>
          </w:p>
        </w:tc>
        <w:tc>
          <w:tcPr>
            <w:tcW w:w="9360" w:type="dxa"/>
            <w:vAlign w:val="bottom"/>
            <w:tcBorders>
              <w:bottom w:val="single" w:sz="8" w:color="0000EE"/>
            </w:tcBorders>
            <w:gridSpan w:val="8"/>
          </w:tcPr>
          <w:p>
            <w:pPr>
              <w:spacing w:after="0"/>
              <w:rPr>
                <w:rFonts w:ascii="Arial" w:cs="Arial" w:eastAsia="Arial" w:hAnsi="Arial"/>
                <w:sz w:val="18"/>
                <w:szCs w:val="18"/>
                <w:color w:val="0000EE"/>
                <w:w w:val="90"/>
              </w:rPr>
            </w:pPr>
            <w:hyperlink w:anchor="page35">
              <w:r>
                <w:rPr>
                  <w:rFonts w:ascii="Arial" w:cs="Arial" w:eastAsia="Arial" w:hAnsi="Arial"/>
                  <w:sz w:val="18"/>
                  <w:szCs w:val="18"/>
                  <w:color w:val="0000EE"/>
                  <w:w w:val="90"/>
                </w:rPr>
                <w:t>Certifications of Chief Executive Officer and President (Principal Executive Officer) and Chief Financial Officer (Principal Financial</w:t>
              </w:r>
            </w:hyperlink>
          </w:p>
        </w:tc>
        <w:tc>
          <w:tcPr>
            <w:tcW w:w="860" w:type="dxa"/>
            <w:vAlign w:val="bottom"/>
            <w:gridSpan w:val="4"/>
          </w:tcPr>
          <w:p>
            <w:pPr>
              <w:spacing w:after="0"/>
              <w:rPr>
                <w:sz w:val="24"/>
                <w:szCs w:val="24"/>
                <w:color w:val="auto"/>
              </w:rPr>
            </w:pPr>
          </w:p>
        </w:tc>
      </w:tr>
      <w:tr>
        <w:trPr>
          <w:trHeight w:val="196"/>
        </w:trPr>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700" w:type="dxa"/>
            <w:vAlign w:val="bottom"/>
            <w:tcBorders>
              <w:bottom w:val="single" w:sz="8" w:color="0000EE"/>
            </w:tcBorders>
            <w:gridSpan w:val="9"/>
          </w:tcPr>
          <w:p>
            <w:pPr>
              <w:spacing w:after="0" w:line="196" w:lineRule="exact"/>
              <w:rPr>
                <w:rFonts w:ascii="Arial" w:cs="Arial" w:eastAsia="Arial" w:hAnsi="Arial"/>
                <w:sz w:val="18"/>
                <w:szCs w:val="18"/>
                <w:color w:val="0000EE"/>
                <w:w w:val="88"/>
              </w:rPr>
            </w:pPr>
            <w:hyperlink w:anchor="page35">
              <w:r>
                <w:rPr>
                  <w:rFonts w:ascii="Arial" w:cs="Arial" w:eastAsia="Arial" w:hAnsi="Arial"/>
                  <w:sz w:val="18"/>
                  <w:szCs w:val="18"/>
                  <w:color w:val="0000EE"/>
                  <w:w w:val="88"/>
                </w:rPr>
                <w:t>Officer), pursuant to 18 U.S.C. Section 1350, as adopted pursuant to Section 906 of the Sarbanes-Oxley Act of 2002 (furnished herewith).</w:t>
              </w:r>
            </w:hyperlink>
          </w:p>
        </w:tc>
        <w:tc>
          <w:tcPr>
            <w:tcW w:w="520" w:type="dxa"/>
            <w:vAlign w:val="bottom"/>
            <w:gridSpan w:val="3"/>
          </w:tcPr>
          <w:p>
            <w:pPr>
              <w:spacing w:after="0"/>
              <w:rPr>
                <w:sz w:val="17"/>
                <w:szCs w:val="17"/>
                <w:color w:val="auto"/>
              </w:rPr>
            </w:pPr>
          </w:p>
        </w:tc>
      </w:tr>
      <w:tr>
        <w:trPr>
          <w:trHeight w:val="344"/>
        </w:trPr>
        <w:tc>
          <w:tcPr>
            <w:tcW w:w="800" w:type="dxa"/>
            <w:vAlign w:val="bottom"/>
          </w:tcPr>
          <w:p>
            <w:pPr>
              <w:spacing w:after="0"/>
              <w:rPr>
                <w:sz w:val="20"/>
                <w:szCs w:val="20"/>
                <w:color w:val="auto"/>
              </w:rPr>
            </w:pPr>
            <w:r>
              <w:rPr>
                <w:rFonts w:ascii="Arial" w:cs="Arial" w:eastAsia="Arial" w:hAnsi="Arial"/>
                <w:sz w:val="18"/>
                <w:szCs w:val="18"/>
                <w:color w:val="auto"/>
              </w:rPr>
              <w:t>101.INS</w:t>
            </w:r>
          </w:p>
        </w:tc>
        <w:tc>
          <w:tcPr>
            <w:tcW w:w="120" w:type="dxa"/>
            <w:vAlign w:val="bottom"/>
          </w:tcPr>
          <w:p>
            <w:pPr>
              <w:spacing w:after="0"/>
              <w:rPr>
                <w:sz w:val="24"/>
                <w:szCs w:val="24"/>
                <w:color w:val="auto"/>
              </w:rPr>
            </w:pPr>
          </w:p>
        </w:tc>
        <w:tc>
          <w:tcPr>
            <w:tcW w:w="10220" w:type="dxa"/>
            <w:vAlign w:val="bottom"/>
            <w:gridSpan w:val="12"/>
          </w:tcPr>
          <w:p>
            <w:pPr>
              <w:spacing w:after="0"/>
              <w:rPr>
                <w:sz w:val="20"/>
                <w:szCs w:val="20"/>
                <w:color w:val="auto"/>
              </w:rPr>
            </w:pPr>
            <w:r>
              <w:rPr>
                <w:rFonts w:ascii="Arial" w:cs="Arial" w:eastAsia="Arial" w:hAnsi="Arial"/>
                <w:sz w:val="18"/>
                <w:szCs w:val="18"/>
                <w:color w:val="auto"/>
                <w:w w:val="93"/>
              </w:rPr>
              <w:t>Inline XBRL Instance Document – the instance document does not appear in the Interactive Data File because XBRL tags are embedded</w:t>
            </w:r>
          </w:p>
        </w:tc>
      </w:tr>
      <w:tr>
        <w:trPr>
          <w:trHeight w:val="230"/>
        </w:trPr>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20" w:type="dxa"/>
            <w:vAlign w:val="bottom"/>
            <w:gridSpan w:val="12"/>
          </w:tcPr>
          <w:p>
            <w:pPr>
              <w:spacing w:after="0"/>
              <w:rPr>
                <w:sz w:val="20"/>
                <w:szCs w:val="20"/>
                <w:color w:val="auto"/>
              </w:rPr>
            </w:pPr>
            <w:r>
              <w:rPr>
                <w:rFonts w:ascii="Arial" w:cs="Arial" w:eastAsia="Arial" w:hAnsi="Arial"/>
                <w:sz w:val="18"/>
                <w:szCs w:val="18"/>
                <w:color w:val="auto"/>
              </w:rPr>
              <w:t>within the Inline XBRL document.</w:t>
            </w:r>
          </w:p>
        </w:tc>
      </w:tr>
      <w:tr>
        <w:trPr>
          <w:trHeight w:val="338"/>
        </w:trPr>
        <w:tc>
          <w:tcPr>
            <w:tcW w:w="800" w:type="dxa"/>
            <w:vAlign w:val="bottom"/>
          </w:tcPr>
          <w:p>
            <w:pPr>
              <w:spacing w:after="0"/>
              <w:rPr>
                <w:sz w:val="20"/>
                <w:szCs w:val="20"/>
                <w:color w:val="auto"/>
              </w:rPr>
            </w:pPr>
            <w:r>
              <w:rPr>
                <w:rFonts w:ascii="Arial" w:cs="Arial" w:eastAsia="Arial" w:hAnsi="Arial"/>
                <w:sz w:val="18"/>
                <w:szCs w:val="18"/>
                <w:color w:val="auto"/>
              </w:rPr>
              <w:t>101.SCH</w:t>
            </w:r>
          </w:p>
        </w:tc>
        <w:tc>
          <w:tcPr>
            <w:tcW w:w="120" w:type="dxa"/>
            <w:vAlign w:val="bottom"/>
          </w:tcPr>
          <w:p>
            <w:pPr>
              <w:spacing w:after="0"/>
              <w:rPr>
                <w:sz w:val="24"/>
                <w:szCs w:val="24"/>
                <w:color w:val="auto"/>
              </w:rPr>
            </w:pPr>
          </w:p>
        </w:tc>
        <w:tc>
          <w:tcPr>
            <w:tcW w:w="10220" w:type="dxa"/>
            <w:vAlign w:val="bottom"/>
            <w:gridSpan w:val="12"/>
          </w:tcPr>
          <w:p>
            <w:pPr>
              <w:spacing w:after="0"/>
              <w:rPr>
                <w:sz w:val="20"/>
                <w:szCs w:val="20"/>
                <w:color w:val="auto"/>
              </w:rPr>
            </w:pPr>
            <w:r>
              <w:rPr>
                <w:rFonts w:ascii="Arial" w:cs="Arial" w:eastAsia="Arial" w:hAnsi="Arial"/>
                <w:sz w:val="18"/>
                <w:szCs w:val="18"/>
                <w:color w:val="auto"/>
              </w:rPr>
              <w:t>Inline XBRL Taxonomy Extension Schema Document</w:t>
            </w:r>
          </w:p>
        </w:tc>
      </w:tr>
      <w:tr>
        <w:trPr>
          <w:trHeight w:val="338"/>
        </w:trPr>
        <w:tc>
          <w:tcPr>
            <w:tcW w:w="800" w:type="dxa"/>
            <w:vAlign w:val="bottom"/>
          </w:tcPr>
          <w:p>
            <w:pPr>
              <w:spacing w:after="0"/>
              <w:rPr>
                <w:sz w:val="20"/>
                <w:szCs w:val="20"/>
                <w:color w:val="auto"/>
              </w:rPr>
            </w:pPr>
            <w:r>
              <w:rPr>
                <w:rFonts w:ascii="Arial" w:cs="Arial" w:eastAsia="Arial" w:hAnsi="Arial"/>
                <w:sz w:val="18"/>
                <w:szCs w:val="18"/>
                <w:color w:val="auto"/>
              </w:rPr>
              <w:t>101.CAL</w:t>
            </w:r>
          </w:p>
        </w:tc>
        <w:tc>
          <w:tcPr>
            <w:tcW w:w="120" w:type="dxa"/>
            <w:vAlign w:val="bottom"/>
          </w:tcPr>
          <w:p>
            <w:pPr>
              <w:spacing w:after="0"/>
              <w:rPr>
                <w:sz w:val="24"/>
                <w:szCs w:val="24"/>
                <w:color w:val="auto"/>
              </w:rPr>
            </w:pPr>
          </w:p>
        </w:tc>
        <w:tc>
          <w:tcPr>
            <w:tcW w:w="10220" w:type="dxa"/>
            <w:vAlign w:val="bottom"/>
            <w:gridSpan w:val="12"/>
          </w:tcPr>
          <w:p>
            <w:pPr>
              <w:spacing w:after="0"/>
              <w:rPr>
                <w:sz w:val="20"/>
                <w:szCs w:val="20"/>
                <w:color w:val="auto"/>
              </w:rPr>
            </w:pPr>
            <w:r>
              <w:rPr>
                <w:rFonts w:ascii="Arial" w:cs="Arial" w:eastAsia="Arial" w:hAnsi="Arial"/>
                <w:sz w:val="18"/>
                <w:szCs w:val="18"/>
                <w:color w:val="auto"/>
              </w:rPr>
              <w:t>Inline XBRL Taxonomy Extension Calculation Linkbase Document</w:t>
            </w:r>
          </w:p>
        </w:tc>
      </w:tr>
      <w:tr>
        <w:trPr>
          <w:trHeight w:val="338"/>
        </w:trPr>
        <w:tc>
          <w:tcPr>
            <w:tcW w:w="800" w:type="dxa"/>
            <w:vAlign w:val="bottom"/>
          </w:tcPr>
          <w:p>
            <w:pPr>
              <w:spacing w:after="0"/>
              <w:rPr>
                <w:sz w:val="20"/>
                <w:szCs w:val="20"/>
                <w:color w:val="auto"/>
              </w:rPr>
            </w:pPr>
            <w:r>
              <w:rPr>
                <w:rFonts w:ascii="Arial" w:cs="Arial" w:eastAsia="Arial" w:hAnsi="Arial"/>
                <w:sz w:val="18"/>
                <w:szCs w:val="18"/>
                <w:color w:val="auto"/>
              </w:rPr>
              <w:t>101.DEF</w:t>
            </w:r>
          </w:p>
        </w:tc>
        <w:tc>
          <w:tcPr>
            <w:tcW w:w="120" w:type="dxa"/>
            <w:vAlign w:val="bottom"/>
          </w:tcPr>
          <w:p>
            <w:pPr>
              <w:spacing w:after="0"/>
              <w:rPr>
                <w:sz w:val="24"/>
                <w:szCs w:val="24"/>
                <w:color w:val="auto"/>
              </w:rPr>
            </w:pPr>
          </w:p>
        </w:tc>
        <w:tc>
          <w:tcPr>
            <w:tcW w:w="10220" w:type="dxa"/>
            <w:vAlign w:val="bottom"/>
            <w:gridSpan w:val="12"/>
          </w:tcPr>
          <w:p>
            <w:pPr>
              <w:spacing w:after="0"/>
              <w:rPr>
                <w:sz w:val="20"/>
                <w:szCs w:val="20"/>
                <w:color w:val="auto"/>
              </w:rPr>
            </w:pPr>
            <w:r>
              <w:rPr>
                <w:rFonts w:ascii="Arial" w:cs="Arial" w:eastAsia="Arial" w:hAnsi="Arial"/>
                <w:sz w:val="18"/>
                <w:szCs w:val="18"/>
                <w:color w:val="auto"/>
              </w:rPr>
              <w:t>Inline XBRL Taxonomy Extension Definition Linkbase Document</w:t>
            </w:r>
          </w:p>
        </w:tc>
      </w:tr>
      <w:tr>
        <w:trPr>
          <w:trHeight w:val="338"/>
        </w:trPr>
        <w:tc>
          <w:tcPr>
            <w:tcW w:w="800" w:type="dxa"/>
            <w:vAlign w:val="bottom"/>
          </w:tcPr>
          <w:p>
            <w:pPr>
              <w:spacing w:after="0"/>
              <w:rPr>
                <w:sz w:val="20"/>
                <w:szCs w:val="20"/>
                <w:color w:val="auto"/>
              </w:rPr>
            </w:pPr>
            <w:r>
              <w:rPr>
                <w:rFonts w:ascii="Arial" w:cs="Arial" w:eastAsia="Arial" w:hAnsi="Arial"/>
                <w:sz w:val="18"/>
                <w:szCs w:val="18"/>
                <w:color w:val="auto"/>
              </w:rPr>
              <w:t>101.LAB</w:t>
            </w:r>
          </w:p>
        </w:tc>
        <w:tc>
          <w:tcPr>
            <w:tcW w:w="120" w:type="dxa"/>
            <w:vAlign w:val="bottom"/>
          </w:tcPr>
          <w:p>
            <w:pPr>
              <w:spacing w:after="0"/>
              <w:rPr>
                <w:sz w:val="24"/>
                <w:szCs w:val="24"/>
                <w:color w:val="auto"/>
              </w:rPr>
            </w:pPr>
          </w:p>
        </w:tc>
        <w:tc>
          <w:tcPr>
            <w:tcW w:w="10220" w:type="dxa"/>
            <w:vAlign w:val="bottom"/>
            <w:gridSpan w:val="12"/>
          </w:tcPr>
          <w:p>
            <w:pPr>
              <w:spacing w:after="0"/>
              <w:rPr>
                <w:sz w:val="20"/>
                <w:szCs w:val="20"/>
                <w:color w:val="auto"/>
              </w:rPr>
            </w:pPr>
            <w:r>
              <w:rPr>
                <w:rFonts w:ascii="Arial" w:cs="Arial" w:eastAsia="Arial" w:hAnsi="Arial"/>
                <w:sz w:val="18"/>
                <w:szCs w:val="18"/>
                <w:color w:val="auto"/>
              </w:rPr>
              <w:t>Inline XBRL Taxonomy Extension Label Linkbase Document</w:t>
            </w:r>
          </w:p>
        </w:tc>
      </w:tr>
      <w:tr>
        <w:trPr>
          <w:trHeight w:val="338"/>
        </w:trPr>
        <w:tc>
          <w:tcPr>
            <w:tcW w:w="800" w:type="dxa"/>
            <w:vAlign w:val="bottom"/>
          </w:tcPr>
          <w:p>
            <w:pPr>
              <w:spacing w:after="0"/>
              <w:rPr>
                <w:sz w:val="20"/>
                <w:szCs w:val="20"/>
                <w:color w:val="auto"/>
              </w:rPr>
            </w:pPr>
            <w:r>
              <w:rPr>
                <w:rFonts w:ascii="Arial" w:cs="Arial" w:eastAsia="Arial" w:hAnsi="Arial"/>
                <w:sz w:val="18"/>
                <w:szCs w:val="18"/>
                <w:color w:val="auto"/>
              </w:rPr>
              <w:t>101.PRE</w:t>
            </w:r>
          </w:p>
        </w:tc>
        <w:tc>
          <w:tcPr>
            <w:tcW w:w="120" w:type="dxa"/>
            <w:vAlign w:val="bottom"/>
          </w:tcPr>
          <w:p>
            <w:pPr>
              <w:spacing w:after="0"/>
              <w:rPr>
                <w:sz w:val="24"/>
                <w:szCs w:val="24"/>
                <w:color w:val="auto"/>
              </w:rPr>
            </w:pPr>
          </w:p>
        </w:tc>
        <w:tc>
          <w:tcPr>
            <w:tcW w:w="10220" w:type="dxa"/>
            <w:vAlign w:val="bottom"/>
            <w:gridSpan w:val="12"/>
          </w:tcPr>
          <w:p>
            <w:pPr>
              <w:spacing w:after="0"/>
              <w:rPr>
                <w:sz w:val="20"/>
                <w:szCs w:val="20"/>
                <w:color w:val="auto"/>
              </w:rPr>
            </w:pPr>
            <w:r>
              <w:rPr>
                <w:rFonts w:ascii="Arial" w:cs="Arial" w:eastAsia="Arial" w:hAnsi="Arial"/>
                <w:sz w:val="18"/>
                <w:szCs w:val="18"/>
                <w:color w:val="auto"/>
              </w:rPr>
              <w:t>Inline XBRL Taxonomy Extension Presentation Linkbase Document</w:t>
            </w:r>
          </w:p>
        </w:tc>
      </w:tr>
    </w:tbl>
    <w:p>
      <w:pPr>
        <w:spacing w:after="0" w:line="107" w:lineRule="exact"/>
        <w:rPr>
          <w:sz w:val="20"/>
          <w:szCs w:val="20"/>
          <w:color w:val="auto"/>
        </w:rPr>
      </w:pPr>
    </w:p>
    <w:p>
      <w:pPr>
        <w:ind w:left="972" w:hanging="925"/>
        <w:spacing w:after="0"/>
        <w:tabs>
          <w:tab w:leader="none" w:pos="972" w:val="left"/>
        </w:tabs>
        <w:numPr>
          <w:ilvl w:val="1"/>
          <w:numId w:val="22"/>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w:t>
      </w:r>
    </w:p>
    <w:p>
      <w:pPr>
        <w:spacing w:after="0" w:line="225" w:lineRule="exact"/>
        <w:rPr>
          <w:rFonts w:ascii="Arial" w:cs="Arial" w:eastAsia="Arial" w:hAnsi="Arial"/>
          <w:sz w:val="18"/>
          <w:szCs w:val="18"/>
          <w:color w:val="auto"/>
        </w:rPr>
      </w:pPr>
    </w:p>
    <w:p>
      <w:pPr>
        <w:ind w:left="492" w:right="20" w:hanging="492"/>
        <w:spacing w:after="0" w:line="277" w:lineRule="auto"/>
        <w:tabs>
          <w:tab w:leader="none" w:pos="492" w:val="left"/>
        </w:tabs>
        <w:numPr>
          <w:ilvl w:val="0"/>
          <w:numId w:val="23"/>
        </w:numPr>
        <w:rPr>
          <w:rFonts w:ascii="Arial" w:cs="Arial" w:eastAsia="Arial" w:hAnsi="Arial"/>
          <w:sz w:val="18"/>
          <w:szCs w:val="18"/>
          <w:color w:val="auto"/>
        </w:rPr>
      </w:pPr>
      <w:r>
        <w:rPr>
          <w:rFonts w:ascii="Arial" w:cs="Arial" w:eastAsia="Arial" w:hAnsi="Arial"/>
          <w:sz w:val="18"/>
          <w:szCs w:val="18"/>
          <w:color w:val="auto"/>
        </w:rPr>
        <w:t>Previously filed as Exhibit 3.3 to the Company’s Registration Statement on Form S-1 (File No. 333-225104), filed with the Securities and Exchange Commission on May 22, 2018, and incorporated herein by reference.</w:t>
      </w:r>
    </w:p>
    <w:p>
      <w:pPr>
        <w:spacing w:after="0" w:line="8" w:lineRule="exact"/>
        <w:rPr>
          <w:rFonts w:ascii="Arial" w:cs="Arial" w:eastAsia="Arial" w:hAnsi="Arial"/>
          <w:sz w:val="18"/>
          <w:szCs w:val="18"/>
          <w:color w:val="auto"/>
        </w:rPr>
      </w:pPr>
    </w:p>
    <w:p>
      <w:pPr>
        <w:ind w:left="492" w:right="20" w:hanging="492"/>
        <w:spacing w:after="0" w:line="277" w:lineRule="auto"/>
        <w:tabs>
          <w:tab w:leader="none" w:pos="492" w:val="left"/>
        </w:tabs>
        <w:numPr>
          <w:ilvl w:val="0"/>
          <w:numId w:val="23"/>
        </w:numPr>
        <w:rPr>
          <w:rFonts w:ascii="Arial" w:cs="Arial" w:eastAsia="Arial" w:hAnsi="Arial"/>
          <w:sz w:val="18"/>
          <w:szCs w:val="18"/>
          <w:color w:val="auto"/>
        </w:rPr>
      </w:pPr>
      <w:r>
        <w:rPr>
          <w:rFonts w:ascii="Arial" w:cs="Arial" w:eastAsia="Arial" w:hAnsi="Arial"/>
          <w:sz w:val="18"/>
          <w:szCs w:val="18"/>
          <w:color w:val="auto"/>
        </w:rPr>
        <w:t>Previously filed as Exhibit 3.4 to the Company’s Registration Statement on Form S-1 (File No. 333-225104), filed with the Securities and Exchange Commission on May 22, 2018, and incorporated herein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-636270</wp:posOffset>
            </wp:positionV>
            <wp:extent cx="171450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extLst>
                        <a:ext uri="{28A0092B-C50C-407E-A947-70E740481C1C}"/>
                      </a:extLst>
                    </a:blip>
                    <a:srcRect/>
                    <a:stretch>
                      <a:fillRect/>
                    </a:stretch>
                  </pic:blipFill>
                  <pic:spPr bwMode="auto">
                    <a:xfrm>
                      <a:off x="0" y="0"/>
                      <a:ext cx="1714500" cy="8255"/>
                    </a:xfrm>
                    <a:prstGeom prst="rect">
                      <a:avLst/>
                    </a:prstGeom>
                    <a:noFill/>
                  </pic:spPr>
                </pic:pic>
              </a:graphicData>
            </a:graphic>
          </wp:anchor>
        </w:drawing>
      </w:r>
    </w:p>
    <w:p>
      <w:pPr>
        <w:ind w:left="492" w:right="280" w:hanging="492"/>
        <w:spacing w:after="0" w:line="286" w:lineRule="auto"/>
        <w:tabs>
          <w:tab w:leader="none" w:pos="492" w:val="left"/>
        </w:tabs>
        <w:numPr>
          <w:ilvl w:val="0"/>
          <w:numId w:val="24"/>
        </w:numPr>
        <w:rPr>
          <w:rFonts w:ascii="Arial" w:cs="Arial" w:eastAsia="Arial" w:hAnsi="Arial"/>
          <w:sz w:val="17"/>
          <w:szCs w:val="17"/>
          <w:color w:val="auto"/>
        </w:rPr>
      </w:pPr>
      <w:r>
        <w:rPr>
          <w:rFonts w:ascii="Arial" w:cs="Arial" w:eastAsia="Arial" w:hAnsi="Arial"/>
          <w:sz w:val="17"/>
          <w:szCs w:val="17"/>
          <w:color w:val="auto"/>
        </w:rPr>
        <w:t>These certifications are being furnished solely to accompany this quarterly report pursuant to 18 U.S.C. Section 1350, and are not being filed for purposes of Section 18 of the Securities Exchange Act of 1934, as amended, and are not to be incorporated by reference into any filing of the registrant, whether made before or after the date hereof, regardless of any general incorporation language in such filing.</w:t>
      </w:r>
    </w:p>
    <w:p>
      <w:pPr>
        <w:spacing w:after="0" w:line="165" w:lineRule="exact"/>
        <w:rPr>
          <w:sz w:val="20"/>
          <w:szCs w:val="20"/>
          <w:color w:val="auto"/>
        </w:rPr>
      </w:pPr>
    </w:p>
    <w:p>
      <w:pPr>
        <w:jc w:val="center"/>
        <w:ind w:right="-31"/>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70485</wp:posOffset>
            </wp:positionV>
            <wp:extent cx="715772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92"/>
          </w:cols>
          <w:pgMar w:left="328" w:top="540" w:right="379" w:bottom="1440" w:gutter="0" w:footer="0" w:header="0"/>
        </w:sectPr>
      </w:pPr>
    </w:p>
    <w:bookmarkStart w:id="29" w:name="page30"/>
    <w:bookmarkEnd w:id="29"/>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400" w:firstLine="51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360" w:type="dxa"/>
            <w:vAlign w:val="bottom"/>
          </w:tcPr>
          <w:p>
            <w:pPr>
              <w:spacing w:after="0"/>
              <w:rPr>
                <w:sz w:val="20"/>
                <w:szCs w:val="20"/>
                <w:color w:val="auto"/>
              </w:rPr>
            </w:pPr>
          </w:p>
        </w:tc>
        <w:tc>
          <w:tcPr>
            <w:tcW w:w="7840" w:type="dxa"/>
            <w:vAlign w:val="bottom"/>
            <w:gridSpan w:val="2"/>
          </w:tcPr>
          <w:p>
            <w:pPr>
              <w:ind w:left="2420"/>
              <w:spacing w:after="0"/>
              <w:rPr>
                <w:sz w:val="20"/>
                <w:szCs w:val="20"/>
                <w:color w:val="auto"/>
              </w:rPr>
            </w:pPr>
            <w:r>
              <w:rPr>
                <w:rFonts w:ascii="Arial" w:cs="Arial" w:eastAsia="Arial" w:hAnsi="Arial"/>
                <w:sz w:val="18"/>
                <w:szCs w:val="18"/>
                <w:b w:val="1"/>
                <w:bCs w:val="1"/>
                <w:color w:val="auto"/>
              </w:rPr>
              <w:t>VERRICA PHARMACEUTICALS INC.</w:t>
            </w:r>
          </w:p>
        </w:tc>
      </w:tr>
      <w:tr>
        <w:trPr>
          <w:trHeight w:val="405"/>
        </w:trPr>
        <w:tc>
          <w:tcPr>
            <w:tcW w:w="3360" w:type="dxa"/>
            <w:vAlign w:val="bottom"/>
          </w:tcPr>
          <w:p>
            <w:pPr>
              <w:spacing w:after="0"/>
              <w:rPr>
                <w:sz w:val="20"/>
                <w:szCs w:val="20"/>
                <w:color w:val="auto"/>
              </w:rPr>
            </w:pPr>
            <w:r>
              <w:rPr>
                <w:rFonts w:ascii="Arial" w:cs="Arial" w:eastAsia="Arial" w:hAnsi="Arial"/>
                <w:sz w:val="18"/>
                <w:szCs w:val="18"/>
                <w:color w:val="auto"/>
              </w:rPr>
              <w:t>August 10, 2021</w:t>
            </w:r>
          </w:p>
        </w:tc>
        <w:tc>
          <w:tcPr>
            <w:tcW w:w="7840" w:type="dxa"/>
            <w:vAlign w:val="bottom"/>
            <w:gridSpan w:val="2"/>
          </w:tcPr>
          <w:p>
            <w:pPr>
              <w:ind w:left="2420"/>
              <w:spacing w:after="0"/>
              <w:rPr>
                <w:sz w:val="20"/>
                <w:szCs w:val="20"/>
                <w:color w:val="auto"/>
              </w:rPr>
            </w:pPr>
            <w:r>
              <w:rPr>
                <w:rFonts w:ascii="Arial" w:cs="Arial" w:eastAsia="Arial" w:hAnsi="Arial"/>
                <w:sz w:val="18"/>
                <w:szCs w:val="18"/>
                <w:color w:val="auto"/>
              </w:rPr>
              <w:t>By:  /s/ Ted White</w:t>
            </w:r>
          </w:p>
        </w:tc>
      </w:tr>
      <w:tr>
        <w:trPr>
          <w:trHeight w:val="195"/>
        </w:trPr>
        <w:tc>
          <w:tcPr>
            <w:tcW w:w="3360" w:type="dxa"/>
            <w:vAlign w:val="bottom"/>
          </w:tcPr>
          <w:p>
            <w:pPr>
              <w:spacing w:after="0"/>
              <w:rPr>
                <w:sz w:val="16"/>
                <w:szCs w:val="16"/>
                <w:color w:val="auto"/>
              </w:rPr>
            </w:pPr>
          </w:p>
        </w:tc>
        <w:tc>
          <w:tcPr>
            <w:tcW w:w="2880" w:type="dxa"/>
            <w:vAlign w:val="bottom"/>
          </w:tcPr>
          <w:p>
            <w:pPr>
              <w:spacing w:after="0"/>
              <w:rPr>
                <w:sz w:val="16"/>
                <w:szCs w:val="16"/>
                <w:color w:val="auto"/>
              </w:rPr>
            </w:pPr>
          </w:p>
        </w:tc>
        <w:tc>
          <w:tcPr>
            <w:tcW w:w="49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Ted White</w:t>
            </w:r>
          </w:p>
        </w:tc>
      </w:tr>
      <w:tr>
        <w:trPr>
          <w:trHeight w:val="216"/>
        </w:trPr>
        <w:tc>
          <w:tcPr>
            <w:tcW w:w="3360" w:type="dxa"/>
            <w:vAlign w:val="bottom"/>
          </w:tcPr>
          <w:p>
            <w:pPr>
              <w:spacing w:after="0"/>
              <w:rPr>
                <w:sz w:val="18"/>
                <w:szCs w:val="18"/>
                <w:color w:val="auto"/>
              </w:rPr>
            </w:pPr>
          </w:p>
        </w:tc>
        <w:tc>
          <w:tcPr>
            <w:tcW w:w="2880" w:type="dxa"/>
            <w:vAlign w:val="bottom"/>
          </w:tcPr>
          <w:p>
            <w:pPr>
              <w:spacing w:after="0"/>
              <w:rPr>
                <w:sz w:val="18"/>
                <w:szCs w:val="18"/>
                <w:color w:val="auto"/>
              </w:rPr>
            </w:pPr>
          </w:p>
        </w:tc>
        <w:tc>
          <w:tcPr>
            <w:tcW w:w="4960" w:type="dxa"/>
            <w:vAlign w:val="bottom"/>
          </w:tcPr>
          <w:p>
            <w:pPr>
              <w:spacing w:after="0"/>
              <w:rPr>
                <w:sz w:val="20"/>
                <w:szCs w:val="20"/>
                <w:color w:val="auto"/>
              </w:rPr>
            </w:pPr>
            <w:r>
              <w:rPr>
                <w:rFonts w:ascii="Arial" w:cs="Arial" w:eastAsia="Arial" w:hAnsi="Arial"/>
                <w:sz w:val="18"/>
                <w:szCs w:val="18"/>
                <w:color w:val="auto"/>
              </w:rPr>
              <w:t>Chief Executive Officer and President</w:t>
            </w:r>
          </w:p>
        </w:tc>
      </w:tr>
      <w:tr>
        <w:trPr>
          <w:trHeight w:val="230"/>
        </w:trPr>
        <w:tc>
          <w:tcPr>
            <w:tcW w:w="336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4960" w:type="dxa"/>
            <w:vAlign w:val="bottom"/>
          </w:tcPr>
          <w:p>
            <w:pPr>
              <w:spacing w:after="0"/>
              <w:rPr>
                <w:sz w:val="20"/>
                <w:szCs w:val="20"/>
                <w:color w:val="auto"/>
              </w:rPr>
            </w:pPr>
            <w:r>
              <w:rPr>
                <w:rFonts w:ascii="Arial" w:cs="Arial" w:eastAsia="Arial" w:hAnsi="Arial"/>
                <w:sz w:val="18"/>
                <w:szCs w:val="18"/>
                <w:color w:val="auto"/>
              </w:rPr>
              <w:t>(Principal Executive Officer)</w:t>
            </w:r>
          </w:p>
        </w:tc>
      </w:tr>
      <w:tr>
        <w:trPr>
          <w:trHeight w:val="405"/>
        </w:trPr>
        <w:tc>
          <w:tcPr>
            <w:tcW w:w="3360" w:type="dxa"/>
            <w:vAlign w:val="bottom"/>
          </w:tcPr>
          <w:p>
            <w:pPr>
              <w:spacing w:after="0"/>
              <w:rPr>
                <w:sz w:val="24"/>
                <w:szCs w:val="24"/>
                <w:color w:val="auto"/>
              </w:rPr>
            </w:pPr>
          </w:p>
        </w:tc>
        <w:tc>
          <w:tcPr>
            <w:tcW w:w="7840" w:type="dxa"/>
            <w:vAlign w:val="bottom"/>
            <w:gridSpan w:val="2"/>
          </w:tcPr>
          <w:p>
            <w:pPr>
              <w:ind w:left="2420"/>
              <w:spacing w:after="0"/>
              <w:rPr>
                <w:sz w:val="20"/>
                <w:szCs w:val="20"/>
                <w:color w:val="auto"/>
              </w:rPr>
            </w:pPr>
            <w:r>
              <w:rPr>
                <w:rFonts w:ascii="Arial" w:cs="Arial" w:eastAsia="Arial" w:hAnsi="Arial"/>
                <w:sz w:val="18"/>
                <w:szCs w:val="18"/>
                <w:color w:val="auto"/>
              </w:rPr>
              <w:t>By:  /s/ P. Terence Kohler Jr.</w:t>
            </w:r>
          </w:p>
        </w:tc>
      </w:tr>
      <w:tr>
        <w:trPr>
          <w:trHeight w:val="195"/>
        </w:trPr>
        <w:tc>
          <w:tcPr>
            <w:tcW w:w="3360" w:type="dxa"/>
            <w:vAlign w:val="bottom"/>
          </w:tcPr>
          <w:p>
            <w:pPr>
              <w:spacing w:after="0"/>
              <w:rPr>
                <w:sz w:val="16"/>
                <w:szCs w:val="16"/>
                <w:color w:val="auto"/>
              </w:rPr>
            </w:pPr>
          </w:p>
        </w:tc>
        <w:tc>
          <w:tcPr>
            <w:tcW w:w="2880" w:type="dxa"/>
            <w:vAlign w:val="bottom"/>
          </w:tcPr>
          <w:p>
            <w:pPr>
              <w:spacing w:after="0"/>
              <w:rPr>
                <w:sz w:val="16"/>
                <w:szCs w:val="16"/>
                <w:color w:val="auto"/>
              </w:rPr>
            </w:pPr>
          </w:p>
        </w:tc>
        <w:tc>
          <w:tcPr>
            <w:tcW w:w="49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P. Terence Kohler Jr.</w:t>
            </w:r>
          </w:p>
        </w:tc>
      </w:tr>
      <w:tr>
        <w:trPr>
          <w:trHeight w:val="216"/>
        </w:trPr>
        <w:tc>
          <w:tcPr>
            <w:tcW w:w="3360" w:type="dxa"/>
            <w:vAlign w:val="bottom"/>
          </w:tcPr>
          <w:p>
            <w:pPr>
              <w:spacing w:after="0"/>
              <w:rPr>
                <w:sz w:val="18"/>
                <w:szCs w:val="18"/>
                <w:color w:val="auto"/>
              </w:rPr>
            </w:pPr>
          </w:p>
        </w:tc>
        <w:tc>
          <w:tcPr>
            <w:tcW w:w="2880" w:type="dxa"/>
            <w:vAlign w:val="bottom"/>
          </w:tcPr>
          <w:p>
            <w:pPr>
              <w:spacing w:after="0"/>
              <w:rPr>
                <w:sz w:val="18"/>
                <w:szCs w:val="18"/>
                <w:color w:val="auto"/>
              </w:rPr>
            </w:pPr>
          </w:p>
        </w:tc>
        <w:tc>
          <w:tcPr>
            <w:tcW w:w="496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230"/>
        </w:trPr>
        <w:tc>
          <w:tcPr>
            <w:tcW w:w="336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4960" w:type="dxa"/>
            <w:vAlign w:val="bottom"/>
          </w:tcPr>
          <w:p>
            <w:pPr>
              <w:spacing w:after="0"/>
              <w:rPr>
                <w:sz w:val="20"/>
                <w:szCs w:val="20"/>
                <w:color w:val="auto"/>
              </w:rPr>
            </w:pPr>
            <w:r>
              <w:rPr>
                <w:rFonts w:ascii="Arial" w:cs="Arial" w:eastAsia="Arial" w:hAnsi="Arial"/>
                <w:sz w:val="18"/>
                <w:szCs w:val="18"/>
                <w:color w:val="auto"/>
              </w:rPr>
              <w:t>(Principal Financial Officer)</w:t>
            </w:r>
          </w:p>
        </w:tc>
      </w:tr>
      <w:tr>
        <w:trPr>
          <w:trHeight w:val="648"/>
        </w:trPr>
        <w:tc>
          <w:tcPr>
            <w:tcW w:w="3360" w:type="dxa"/>
            <w:vAlign w:val="bottom"/>
          </w:tcPr>
          <w:p>
            <w:pPr>
              <w:spacing w:after="0"/>
              <w:rPr>
                <w:sz w:val="24"/>
                <w:szCs w:val="24"/>
                <w:color w:val="auto"/>
              </w:rPr>
            </w:pPr>
          </w:p>
        </w:tc>
        <w:tc>
          <w:tcPr>
            <w:tcW w:w="2880" w:type="dxa"/>
            <w:vAlign w:val="bottom"/>
          </w:tcPr>
          <w:p>
            <w:pPr>
              <w:jc w:val="right"/>
              <w:ind w:right="430"/>
              <w:spacing w:after="0"/>
              <w:rPr>
                <w:sz w:val="20"/>
                <w:szCs w:val="20"/>
                <w:color w:val="auto"/>
              </w:rPr>
            </w:pPr>
            <w:r>
              <w:rPr>
                <w:rFonts w:ascii="Arial" w:cs="Arial" w:eastAsia="Arial" w:hAnsi="Arial"/>
                <w:sz w:val="18"/>
                <w:szCs w:val="18"/>
                <w:color w:val="auto"/>
              </w:rPr>
              <w:t>28</w:t>
            </w:r>
          </w:p>
        </w:tc>
        <w:tc>
          <w:tcPr>
            <w:tcW w:w="4960" w:type="dxa"/>
            <w:vAlign w:val="bottom"/>
          </w:tcPr>
          <w:p>
            <w:pPr>
              <w:spacing w:after="0"/>
              <w:rPr>
                <w:sz w:val="24"/>
                <w:szCs w:val="24"/>
                <w:color w:val="auto"/>
              </w:rPr>
            </w:pPr>
          </w:p>
        </w:tc>
      </w:tr>
    </w:tbl>
    <w:p>
      <w:pPr>
        <w:sectPr>
          <w:pgSz w:w="11900" w:h="16838" w:orient="portrait"/>
          <w:cols w:equalWidth="0" w:num="1">
            <w:col w:w="11200"/>
          </w:cols>
          <w:pgMar w:left="320" w:top="337" w:right="379" w:bottom="1440" w:gutter="0" w:footer="0" w:header="0"/>
        </w:sectPr>
      </w:pPr>
    </w:p>
    <w:bookmarkStart w:id="30" w:name="page31"/>
    <w:bookmarkEnd w:id="30"/>
    <w:p>
      <w:pPr>
        <w:jc w:val="right"/>
        <w:spacing w:after="0"/>
        <w:rPr>
          <w:sz w:val="20"/>
          <w:szCs w:val="20"/>
          <w:color w:val="auto"/>
        </w:rPr>
      </w:pPr>
      <w:r>
        <w:rPr>
          <w:rFonts w:ascii="Arial" w:cs="Arial" w:eastAsia="Arial" w:hAnsi="Arial"/>
          <w:sz w:val="18"/>
          <w:szCs w:val="18"/>
          <w:b w:val="1"/>
          <w:bCs w:val="1"/>
          <w:color w:val="auto"/>
        </w:rPr>
        <w:t>EXHIBIT 10.1</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VERRICA PHARMACEUTICALS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w:t>
      </w:r>
      <w:r>
        <w:rPr>
          <w:rFonts w:ascii="Arial" w:cs="Arial" w:eastAsia="Arial" w:hAnsi="Arial"/>
          <w:sz w:val="12"/>
          <w:szCs w:val="12"/>
          <w:b w:val="1"/>
          <w:bCs w:val="1"/>
          <w:color w:val="auto"/>
        </w:rPr>
        <w:t>MENDED AND</w:t>
      </w:r>
      <w:r>
        <w:rPr>
          <w:rFonts w:ascii="Arial" w:cs="Arial" w:eastAsia="Arial" w:hAnsi="Arial"/>
          <w:sz w:val="18"/>
          <w:szCs w:val="18"/>
          <w:b w:val="1"/>
          <w:bCs w:val="1"/>
          <w:color w:val="auto"/>
        </w:rPr>
        <w:t xml:space="preserve"> R</w:t>
      </w:r>
      <w:r>
        <w:rPr>
          <w:rFonts w:ascii="Arial" w:cs="Arial" w:eastAsia="Arial" w:hAnsi="Arial"/>
          <w:sz w:val="12"/>
          <w:szCs w:val="12"/>
          <w:b w:val="1"/>
          <w:bCs w:val="1"/>
          <w:color w:val="auto"/>
        </w:rPr>
        <w:t>ESTATED</w:t>
      </w:r>
      <w:r>
        <w:rPr>
          <w:rFonts w:ascii="Arial" w:cs="Arial" w:eastAsia="Arial" w:hAnsi="Arial"/>
          <w:sz w:val="18"/>
          <w:szCs w:val="18"/>
          <w:b w:val="1"/>
          <w:bCs w:val="1"/>
          <w:color w:val="auto"/>
        </w:rPr>
        <w:t xml:space="preserve"> NON-EMPLOYEE DIRECTOR COMPENSATION POLICY</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by the Board on March 1, 2021</w:t>
      </w:r>
    </w:p>
    <w:p>
      <w:pPr>
        <w:spacing w:after="0" w:line="229"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Each member of the Board of Directors (the “</w:t>
      </w:r>
      <w:r>
        <w:rPr>
          <w:rFonts w:ascii="Arial" w:cs="Arial" w:eastAsia="Arial" w:hAnsi="Arial"/>
          <w:sz w:val="18"/>
          <w:szCs w:val="18"/>
          <w:b w:val="1"/>
          <w:bCs w:val="1"/>
          <w:i w:val="1"/>
          <w:iCs w:val="1"/>
          <w:color w:val="auto"/>
        </w:rPr>
        <w:t>Board</w:t>
      </w:r>
      <w:r>
        <w:rPr>
          <w:rFonts w:ascii="Arial" w:cs="Arial" w:eastAsia="Arial" w:hAnsi="Arial"/>
          <w:sz w:val="18"/>
          <w:szCs w:val="18"/>
          <w:color w:val="auto"/>
        </w:rPr>
        <w:t>”) who is not also serving as an employee of Verrica Pharmaceuticals Inc. (the “</w:t>
      </w:r>
      <w:r>
        <w:rPr>
          <w:rFonts w:ascii="Arial" w:cs="Arial" w:eastAsia="Arial" w:hAnsi="Arial"/>
          <w:sz w:val="18"/>
          <w:szCs w:val="18"/>
          <w:b w:val="1"/>
          <w:bCs w:val="1"/>
          <w:i w:val="1"/>
          <w:iCs w:val="1"/>
          <w:color w:val="auto"/>
        </w:rPr>
        <w:t>Company</w:t>
      </w:r>
      <w:r>
        <w:rPr>
          <w:rFonts w:ascii="Arial" w:cs="Arial" w:eastAsia="Arial" w:hAnsi="Arial"/>
          <w:sz w:val="18"/>
          <w:szCs w:val="18"/>
          <w:color w:val="auto"/>
        </w:rPr>
        <w:t>”) and is not affiliated with an entity that beneficially owns 5% or more of the Company’s outstanding shares (each such member, an “</w:t>
      </w:r>
      <w:r>
        <w:rPr>
          <w:rFonts w:ascii="Arial" w:cs="Arial" w:eastAsia="Arial" w:hAnsi="Arial"/>
          <w:sz w:val="18"/>
          <w:szCs w:val="18"/>
          <w:b w:val="1"/>
          <w:bCs w:val="1"/>
          <w:i w:val="1"/>
          <w:iCs w:val="1"/>
          <w:color w:val="auto"/>
        </w:rPr>
        <w:t>Eligible Director</w:t>
      </w:r>
      <w:r>
        <w:rPr>
          <w:rFonts w:ascii="Arial" w:cs="Arial" w:eastAsia="Arial" w:hAnsi="Arial"/>
          <w:sz w:val="18"/>
          <w:szCs w:val="18"/>
          <w:color w:val="auto"/>
        </w:rPr>
        <w:t>”) will receive the compensation described in this Amended and Restated Non-Employee Director Compensation Policy for his or her Board service. An Eligible Director may decline all or any portion of his or her compensation by giving notice to the Company prior to the date cash may be paid or equity awards are to be granted, as the case may be. This amended and restated policy is effective as of the date hereof and may be amended at any time in the sole discretion of the Board or the Compensation Committee of the Board.</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Cash Compensation</w:t>
      </w:r>
    </w:p>
    <w:p>
      <w:pPr>
        <w:spacing w:after="0" w:line="121" w:lineRule="exact"/>
        <w:rPr>
          <w:sz w:val="20"/>
          <w:szCs w:val="20"/>
          <w:color w:val="auto"/>
        </w:rPr>
      </w:pPr>
    </w:p>
    <w:p>
      <w:pPr>
        <w:ind w:right="120"/>
        <w:spacing w:after="0" w:line="296" w:lineRule="auto"/>
        <w:rPr>
          <w:sz w:val="20"/>
          <w:szCs w:val="20"/>
          <w:color w:val="auto"/>
        </w:rPr>
      </w:pPr>
      <w:r>
        <w:rPr>
          <w:rFonts w:ascii="Arial" w:cs="Arial" w:eastAsia="Arial" w:hAnsi="Arial"/>
          <w:sz w:val="16"/>
          <w:szCs w:val="16"/>
          <w:color w:val="auto"/>
        </w:rPr>
        <w:t>Unless a director elects otherwise, the annual cash compensation amount set forth below is payable in equal quarterly installments, payable in advance during the first 30 days of each quarter in which the service will occur. If an Eligible Director joins the Board or a committee of the Board at a time other than effective as of the first day of a fiscal quarter, each annual retainer set forth below will be pro-rated based on days served in the applicable fiscal year, with the pro-rated amount paid for the first fiscal quarter in which the Eligible Director provides the service (payable not later than 30 days after the Eligible Director commences such service), and regular full quarterly payments thereafter. All annual cash fees are vested upon payment.</w:t>
      </w:r>
    </w:p>
    <w:p>
      <w:pPr>
        <w:spacing w:after="0" w:line="67" w:lineRule="exact"/>
        <w:rPr>
          <w:sz w:val="20"/>
          <w:szCs w:val="20"/>
          <w:color w:val="auto"/>
        </w:rPr>
      </w:pPr>
    </w:p>
    <w:p>
      <w:pPr>
        <w:ind w:left="460" w:hanging="452"/>
        <w:spacing w:after="0"/>
        <w:tabs>
          <w:tab w:leader="none" w:pos="460" w:val="left"/>
        </w:tabs>
        <w:numPr>
          <w:ilvl w:val="0"/>
          <w:numId w:val="25"/>
        </w:numPr>
        <w:rPr>
          <w:rFonts w:ascii="Arial" w:cs="Arial" w:eastAsia="Arial" w:hAnsi="Arial"/>
          <w:sz w:val="18"/>
          <w:szCs w:val="18"/>
          <w:color w:val="auto"/>
        </w:rPr>
      </w:pPr>
      <w:r>
        <w:rPr>
          <w:rFonts w:ascii="Arial" w:cs="Arial" w:eastAsia="Arial" w:hAnsi="Arial"/>
          <w:sz w:val="18"/>
          <w:szCs w:val="18"/>
          <w:u w:val="single" w:color="auto"/>
          <w:color w:val="auto"/>
        </w:rPr>
        <w:t>Annual Board Service Retainer</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900" w:hanging="447"/>
        <w:spacing w:after="0"/>
        <w:tabs>
          <w:tab w:leader="none" w:pos="900" w:val="left"/>
        </w:tabs>
        <w:numPr>
          <w:ilvl w:val="1"/>
          <w:numId w:val="25"/>
        </w:numPr>
        <w:rPr>
          <w:rFonts w:ascii="Arial" w:cs="Arial" w:eastAsia="Arial" w:hAnsi="Arial"/>
          <w:sz w:val="18"/>
          <w:szCs w:val="18"/>
          <w:color w:val="auto"/>
        </w:rPr>
      </w:pPr>
      <w:r>
        <w:rPr>
          <w:rFonts w:ascii="Arial" w:cs="Arial" w:eastAsia="Arial" w:hAnsi="Arial"/>
          <w:sz w:val="18"/>
          <w:szCs w:val="18"/>
          <w:color w:val="auto"/>
        </w:rPr>
        <w:t>All Eligible Directors: $40,000</w:t>
      </w:r>
    </w:p>
    <w:p>
      <w:pPr>
        <w:spacing w:after="0" w:line="130" w:lineRule="exact"/>
        <w:rPr>
          <w:rFonts w:ascii="Arial" w:cs="Arial" w:eastAsia="Arial" w:hAnsi="Arial"/>
          <w:sz w:val="18"/>
          <w:szCs w:val="18"/>
          <w:color w:val="auto"/>
        </w:rPr>
      </w:pPr>
    </w:p>
    <w:p>
      <w:pPr>
        <w:ind w:left="460" w:hanging="452"/>
        <w:spacing w:after="0"/>
        <w:tabs>
          <w:tab w:leader="none" w:pos="460" w:val="left"/>
        </w:tabs>
        <w:numPr>
          <w:ilvl w:val="0"/>
          <w:numId w:val="25"/>
        </w:numPr>
        <w:rPr>
          <w:rFonts w:ascii="Arial" w:cs="Arial" w:eastAsia="Arial" w:hAnsi="Arial"/>
          <w:sz w:val="18"/>
          <w:szCs w:val="18"/>
          <w:color w:val="auto"/>
        </w:rPr>
      </w:pPr>
      <w:r>
        <w:rPr>
          <w:rFonts w:ascii="Arial" w:cs="Arial" w:eastAsia="Arial" w:hAnsi="Arial"/>
          <w:sz w:val="18"/>
          <w:szCs w:val="18"/>
          <w:u w:val="single" w:color="auto"/>
          <w:color w:val="auto"/>
        </w:rPr>
        <w:t>Annual Committee Chair Service Retainer</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900" w:hanging="447"/>
        <w:spacing w:after="0"/>
        <w:tabs>
          <w:tab w:leader="none" w:pos="900" w:val="left"/>
        </w:tabs>
        <w:numPr>
          <w:ilvl w:val="1"/>
          <w:numId w:val="25"/>
        </w:numPr>
        <w:rPr>
          <w:rFonts w:ascii="Arial" w:cs="Arial" w:eastAsia="Arial" w:hAnsi="Arial"/>
          <w:sz w:val="18"/>
          <w:szCs w:val="18"/>
          <w:color w:val="auto"/>
        </w:rPr>
      </w:pPr>
      <w:r>
        <w:rPr>
          <w:rFonts w:ascii="Arial" w:cs="Arial" w:eastAsia="Arial" w:hAnsi="Arial"/>
          <w:sz w:val="18"/>
          <w:szCs w:val="18"/>
          <w:color w:val="auto"/>
        </w:rPr>
        <w:t>Chairman of the Audit Committee: $10,000</w:t>
      </w:r>
    </w:p>
    <w:p>
      <w:pPr>
        <w:spacing w:after="0" w:line="130" w:lineRule="exact"/>
        <w:rPr>
          <w:rFonts w:ascii="Arial" w:cs="Arial" w:eastAsia="Arial" w:hAnsi="Arial"/>
          <w:sz w:val="18"/>
          <w:szCs w:val="18"/>
          <w:color w:val="auto"/>
        </w:rPr>
      </w:pPr>
    </w:p>
    <w:p>
      <w:pPr>
        <w:ind w:left="900" w:hanging="447"/>
        <w:spacing w:after="0"/>
        <w:tabs>
          <w:tab w:leader="none" w:pos="900" w:val="left"/>
        </w:tabs>
        <w:numPr>
          <w:ilvl w:val="1"/>
          <w:numId w:val="25"/>
        </w:numPr>
        <w:rPr>
          <w:rFonts w:ascii="Arial" w:cs="Arial" w:eastAsia="Arial" w:hAnsi="Arial"/>
          <w:sz w:val="18"/>
          <w:szCs w:val="18"/>
          <w:color w:val="auto"/>
        </w:rPr>
      </w:pPr>
      <w:r>
        <w:rPr>
          <w:rFonts w:ascii="Arial" w:cs="Arial" w:eastAsia="Arial" w:hAnsi="Arial"/>
          <w:sz w:val="18"/>
          <w:szCs w:val="18"/>
          <w:color w:val="auto"/>
        </w:rPr>
        <w:t>Chairman of the Compensation Committee: $10,000</w:t>
      </w:r>
    </w:p>
    <w:p>
      <w:pPr>
        <w:spacing w:after="0" w:line="130" w:lineRule="exact"/>
        <w:rPr>
          <w:rFonts w:ascii="Arial" w:cs="Arial" w:eastAsia="Arial" w:hAnsi="Arial"/>
          <w:sz w:val="18"/>
          <w:szCs w:val="18"/>
          <w:color w:val="auto"/>
        </w:rPr>
      </w:pPr>
    </w:p>
    <w:p>
      <w:pPr>
        <w:ind w:left="900" w:hanging="447"/>
        <w:spacing w:after="0"/>
        <w:tabs>
          <w:tab w:leader="none" w:pos="900" w:val="left"/>
        </w:tabs>
        <w:numPr>
          <w:ilvl w:val="1"/>
          <w:numId w:val="25"/>
        </w:numPr>
        <w:rPr>
          <w:rFonts w:ascii="Arial" w:cs="Arial" w:eastAsia="Arial" w:hAnsi="Arial"/>
          <w:sz w:val="18"/>
          <w:szCs w:val="18"/>
          <w:color w:val="auto"/>
        </w:rPr>
      </w:pPr>
      <w:r>
        <w:rPr>
          <w:rFonts w:ascii="Arial" w:cs="Arial" w:eastAsia="Arial" w:hAnsi="Arial"/>
          <w:sz w:val="18"/>
          <w:szCs w:val="18"/>
          <w:color w:val="auto"/>
        </w:rPr>
        <w:t>Chairman of the Nominating and Corporate Governance Committee: $10,000</w:t>
      </w:r>
    </w:p>
    <w:p>
      <w:pPr>
        <w:spacing w:after="0" w:line="130" w:lineRule="exact"/>
        <w:rPr>
          <w:rFonts w:ascii="Arial" w:cs="Arial" w:eastAsia="Arial" w:hAnsi="Arial"/>
          <w:sz w:val="18"/>
          <w:szCs w:val="18"/>
          <w:color w:val="auto"/>
        </w:rPr>
      </w:pPr>
    </w:p>
    <w:p>
      <w:pPr>
        <w:ind w:left="460" w:hanging="452"/>
        <w:spacing w:after="0"/>
        <w:tabs>
          <w:tab w:leader="none" w:pos="460" w:val="left"/>
        </w:tabs>
        <w:numPr>
          <w:ilvl w:val="0"/>
          <w:numId w:val="25"/>
        </w:numPr>
        <w:rPr>
          <w:rFonts w:ascii="Arial" w:cs="Arial" w:eastAsia="Arial" w:hAnsi="Arial"/>
          <w:sz w:val="18"/>
          <w:szCs w:val="18"/>
          <w:color w:val="auto"/>
        </w:rPr>
      </w:pPr>
      <w:r>
        <w:rPr>
          <w:rFonts w:ascii="Arial" w:cs="Arial" w:eastAsia="Arial" w:hAnsi="Arial"/>
          <w:sz w:val="18"/>
          <w:szCs w:val="18"/>
          <w:u w:val="single" w:color="auto"/>
          <w:color w:val="auto"/>
        </w:rPr>
        <w:t>Annual Committee Member Service Retainer</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900" w:hanging="447"/>
        <w:spacing w:after="0"/>
        <w:tabs>
          <w:tab w:leader="none" w:pos="900" w:val="left"/>
        </w:tabs>
        <w:numPr>
          <w:ilvl w:val="1"/>
          <w:numId w:val="25"/>
        </w:numPr>
        <w:rPr>
          <w:rFonts w:ascii="Arial" w:cs="Arial" w:eastAsia="Arial" w:hAnsi="Arial"/>
          <w:sz w:val="18"/>
          <w:szCs w:val="18"/>
          <w:color w:val="auto"/>
        </w:rPr>
      </w:pPr>
      <w:r>
        <w:rPr>
          <w:rFonts w:ascii="Arial" w:cs="Arial" w:eastAsia="Arial" w:hAnsi="Arial"/>
          <w:sz w:val="18"/>
          <w:szCs w:val="18"/>
          <w:color w:val="auto"/>
        </w:rPr>
        <w:t>Member of the Audit Committee: $5,000</w:t>
      </w:r>
    </w:p>
    <w:p>
      <w:pPr>
        <w:spacing w:after="0" w:line="130" w:lineRule="exact"/>
        <w:rPr>
          <w:rFonts w:ascii="Arial" w:cs="Arial" w:eastAsia="Arial" w:hAnsi="Arial"/>
          <w:sz w:val="18"/>
          <w:szCs w:val="18"/>
          <w:color w:val="auto"/>
        </w:rPr>
      </w:pPr>
    </w:p>
    <w:p>
      <w:pPr>
        <w:ind w:left="900" w:hanging="447"/>
        <w:spacing w:after="0"/>
        <w:tabs>
          <w:tab w:leader="none" w:pos="900" w:val="left"/>
        </w:tabs>
        <w:numPr>
          <w:ilvl w:val="1"/>
          <w:numId w:val="25"/>
        </w:numPr>
        <w:rPr>
          <w:rFonts w:ascii="Arial" w:cs="Arial" w:eastAsia="Arial" w:hAnsi="Arial"/>
          <w:sz w:val="18"/>
          <w:szCs w:val="18"/>
          <w:color w:val="auto"/>
        </w:rPr>
      </w:pPr>
      <w:r>
        <w:rPr>
          <w:rFonts w:ascii="Arial" w:cs="Arial" w:eastAsia="Arial" w:hAnsi="Arial"/>
          <w:sz w:val="18"/>
          <w:szCs w:val="18"/>
          <w:color w:val="auto"/>
        </w:rPr>
        <w:t>Member of the Compensation Committee: $5,000</w:t>
      </w:r>
    </w:p>
    <w:p>
      <w:pPr>
        <w:spacing w:after="0" w:line="130" w:lineRule="exact"/>
        <w:rPr>
          <w:rFonts w:ascii="Arial" w:cs="Arial" w:eastAsia="Arial" w:hAnsi="Arial"/>
          <w:sz w:val="18"/>
          <w:szCs w:val="18"/>
          <w:color w:val="auto"/>
        </w:rPr>
      </w:pPr>
    </w:p>
    <w:p>
      <w:pPr>
        <w:ind w:left="900" w:hanging="447"/>
        <w:spacing w:after="0"/>
        <w:tabs>
          <w:tab w:leader="none" w:pos="900" w:val="left"/>
        </w:tabs>
        <w:numPr>
          <w:ilvl w:val="1"/>
          <w:numId w:val="25"/>
        </w:numPr>
        <w:rPr>
          <w:rFonts w:ascii="Arial" w:cs="Arial" w:eastAsia="Arial" w:hAnsi="Arial"/>
          <w:sz w:val="18"/>
          <w:szCs w:val="18"/>
          <w:color w:val="auto"/>
        </w:rPr>
      </w:pPr>
      <w:r>
        <w:rPr>
          <w:rFonts w:ascii="Arial" w:cs="Arial" w:eastAsia="Arial" w:hAnsi="Arial"/>
          <w:sz w:val="18"/>
          <w:szCs w:val="18"/>
          <w:color w:val="auto"/>
        </w:rPr>
        <w:t>Member of the Nominating and Corporate Governance Committee: $5,000</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Compensation</w:t>
      </w:r>
    </w:p>
    <w:p>
      <w:pPr>
        <w:spacing w:after="0" w:line="121"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The equity compensation set forth below will be granted under the Company’s 2018 Equity Incentive Plan (the “</w:t>
      </w:r>
      <w:r>
        <w:rPr>
          <w:rFonts w:ascii="Arial" w:cs="Arial" w:eastAsia="Arial" w:hAnsi="Arial"/>
          <w:sz w:val="18"/>
          <w:szCs w:val="18"/>
          <w:b w:val="1"/>
          <w:bCs w:val="1"/>
          <w:i w:val="1"/>
          <w:iCs w:val="1"/>
          <w:color w:val="auto"/>
        </w:rPr>
        <w:t>Plan</w:t>
      </w:r>
      <w:r>
        <w:rPr>
          <w:rFonts w:ascii="Arial" w:cs="Arial" w:eastAsia="Arial" w:hAnsi="Arial"/>
          <w:sz w:val="18"/>
          <w:szCs w:val="18"/>
          <w:color w:val="auto"/>
        </w:rPr>
        <w:t>”), subject to the approval of the Plan by the Company’s stockholders.</w:t>
      </w:r>
    </w:p>
    <w:p>
      <w:pPr>
        <w:spacing w:after="0" w:line="103"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All stock options granted under this policy will be nonstatutory stock options, with an exercise price per share equal to 100% of the Fair Market Value (as defined in the Plan) of the underlying common stock on the date of grant, and a term of ten years from the date of grant (subject to earlier termination in connection with a termination of service as provided in the Plan, provided that upon a termination of service other than for death, disability or cause, the post-termination exercise period will be 12 months from the date of termination).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46355</wp:posOffset>
            </wp:positionV>
            <wp:extent cx="7174865"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1" w:name="page32"/>
    <w:bookmarkEnd w:id="31"/>
    <w:p>
      <w:pPr>
        <w:ind w:right="100" w:firstLine="8"/>
        <w:spacing w:after="0" w:line="254" w:lineRule="auto"/>
        <w:tabs>
          <w:tab w:leader="none" w:pos="180" w:val="left"/>
        </w:tabs>
        <w:numPr>
          <w:ilvl w:val="0"/>
          <w:numId w:val="26"/>
        </w:numPr>
        <w:rPr>
          <w:rFonts w:ascii="Arial" w:cs="Arial" w:eastAsia="Arial" w:hAnsi="Arial"/>
          <w:sz w:val="18"/>
          <w:szCs w:val="18"/>
          <w:color w:val="auto"/>
        </w:rPr>
      </w:pPr>
      <w:r>
        <w:rPr>
          <w:rFonts w:ascii="Arial" w:cs="Arial" w:eastAsia="Arial" w:hAnsi="Arial"/>
          <w:sz w:val="18"/>
          <w:szCs w:val="18"/>
          <w:u w:val="single" w:color="auto"/>
          <w:color w:val="auto"/>
        </w:rPr>
        <w:t>Initial Grant</w:t>
      </w:r>
      <w:r>
        <w:rPr>
          <w:rFonts w:ascii="Arial" w:cs="Arial" w:eastAsia="Arial" w:hAnsi="Arial"/>
          <w:sz w:val="18"/>
          <w:szCs w:val="18"/>
          <w:color w:val="auto"/>
        </w:rPr>
        <w:t>: For each Eligible Director who is first elected or appointed to the Board, on the date of such Eligible Director’s initial election or appointment to the Board (or, if such date is not a market trading day, the first market trading day thereafter), the Eligible Director will be automatically, and without further action by the Board or Compensation Committee of the Board, granted a stock option for 17,502 shares (the “</w:t>
      </w:r>
      <w:r>
        <w:rPr>
          <w:rFonts w:ascii="Arial" w:cs="Arial" w:eastAsia="Arial" w:hAnsi="Arial"/>
          <w:sz w:val="18"/>
          <w:szCs w:val="18"/>
          <w:b w:val="1"/>
          <w:bCs w:val="1"/>
          <w:i w:val="1"/>
          <w:iCs w:val="1"/>
          <w:color w:val="auto"/>
        </w:rPr>
        <w:t>Initial Grant</w:t>
      </w:r>
      <w:r>
        <w:rPr>
          <w:rFonts w:ascii="Arial" w:cs="Arial" w:eastAsia="Arial" w:hAnsi="Arial"/>
          <w:sz w:val="18"/>
          <w:szCs w:val="18"/>
          <w:color w:val="auto"/>
        </w:rPr>
        <w:t>”). The shares subject to each Initial Grant will vest over a period of three years as follows: (i) one-third of the total shares subject to the option shall vest on the first anniversary of the date of grant and (ii) 1/36th of total shares subject to the option shall vest monthly thereafter over the remaining two years of the vesting period, subject to the Eligible Director’s Continuous Service (as defined in the Plan) through such vesting date and will vest in full upon a Change in Control (as defined in the Plan).</w:t>
      </w:r>
    </w:p>
    <w:p>
      <w:pPr>
        <w:spacing w:after="0" w:line="194" w:lineRule="exact"/>
        <w:rPr>
          <w:rFonts w:ascii="Arial" w:cs="Arial" w:eastAsia="Arial" w:hAnsi="Arial"/>
          <w:sz w:val="18"/>
          <w:szCs w:val="18"/>
          <w:color w:val="auto"/>
        </w:rPr>
      </w:pPr>
    </w:p>
    <w:p>
      <w:pPr>
        <w:ind w:left="180" w:hanging="172"/>
        <w:spacing w:after="0"/>
        <w:tabs>
          <w:tab w:leader="none" w:pos="180" w:val="left"/>
        </w:tabs>
        <w:numPr>
          <w:ilvl w:val="0"/>
          <w:numId w:val="26"/>
        </w:numPr>
        <w:rPr>
          <w:rFonts w:ascii="Arial" w:cs="Arial" w:eastAsia="Arial" w:hAnsi="Arial"/>
          <w:sz w:val="18"/>
          <w:szCs w:val="18"/>
          <w:color w:val="auto"/>
        </w:rPr>
      </w:pPr>
      <w:r>
        <w:rPr>
          <w:rFonts w:ascii="Arial" w:cs="Arial" w:eastAsia="Arial" w:hAnsi="Arial"/>
          <w:sz w:val="18"/>
          <w:szCs w:val="18"/>
          <w:u w:val="single" w:color="auto"/>
          <w:color w:val="auto"/>
        </w:rPr>
        <w:t>Annual Grant</w:t>
      </w:r>
      <w:r>
        <w:rPr>
          <w:rFonts w:ascii="Arial" w:cs="Arial" w:eastAsia="Arial" w:hAnsi="Arial"/>
          <w:sz w:val="18"/>
          <w:szCs w:val="18"/>
          <w:color w:val="auto"/>
        </w:rPr>
        <w:t>: On the date of each annual stockholders meeting of the Company, each Eligible Director who continues to serve as a non-</w:t>
      </w:r>
    </w:p>
    <w:p>
      <w:pPr>
        <w:spacing w:after="0" w:line="23"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employee member of the Board following such stockholders meeting will be automatically, and without further action by the Board or Compensation Committee of the Board, granted a stock option for 8,109 shares (the “</w:t>
      </w:r>
      <w:r>
        <w:rPr>
          <w:rFonts w:ascii="Arial" w:cs="Arial" w:eastAsia="Arial" w:hAnsi="Arial"/>
          <w:sz w:val="18"/>
          <w:szCs w:val="18"/>
          <w:b w:val="1"/>
          <w:bCs w:val="1"/>
          <w:i w:val="1"/>
          <w:iCs w:val="1"/>
          <w:color w:val="auto"/>
        </w:rPr>
        <w:t>Annual Grant</w:t>
      </w:r>
      <w:r>
        <w:rPr>
          <w:rFonts w:ascii="Arial" w:cs="Arial" w:eastAsia="Arial" w:hAnsi="Arial"/>
          <w:sz w:val="18"/>
          <w:szCs w:val="18"/>
          <w:color w:val="auto"/>
        </w:rPr>
        <w:t>”). The shares subject to each Annual Grant will vest in equal monthly installments over the 12 months following the date of grant, provided that the Annual Grant will in any case be fully vested on the date of the Company’s next annual stockholder meeting, subject to the Eligible Director’s Continuous Service (as defined in the Plan) through such vesting date and will vest in full upon a Change in Control (as defined in the Plan).</w:t>
      </w:r>
    </w:p>
    <w:p>
      <w:pPr>
        <w:sectPr>
          <w:pgSz w:w="11900" w:h="16838" w:orient="portrait"/>
          <w:cols w:equalWidth="0" w:num="1">
            <w:col w:w="11200"/>
          </w:cols>
          <w:pgMar w:left="320" w:top="341" w:right="379" w:bottom="1440" w:gutter="0" w:footer="0" w:header="0"/>
        </w:sectPr>
      </w:pPr>
    </w:p>
    <w:bookmarkStart w:id="32" w:name="page33"/>
    <w:bookmarkEnd w:id="32"/>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line="266" w:lineRule="auto"/>
        <w:rPr>
          <w:sz w:val="20"/>
          <w:szCs w:val="20"/>
          <w:color w:val="auto"/>
        </w:rPr>
      </w:pPr>
      <w:r>
        <w:rPr>
          <w:rFonts w:ascii="Arial" w:cs="Arial" w:eastAsia="Arial" w:hAnsi="Arial"/>
          <w:sz w:val="18"/>
          <w:szCs w:val="18"/>
          <w:b w:val="1"/>
          <w:bCs w:val="1"/>
          <w:color w:val="auto"/>
        </w:rPr>
        <w:t>VERRICA PHARMACEUTICALS INC. CERTIFICATION OF PRINCIPAL EXECUTIVE OFFICER PURSUANT TO SECTION 302 OF THE SARBANES-OXLEY ACT OF 2002</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color w:val="auto"/>
        </w:rPr>
        <w:t>I, Ted White, certify that:</w:t>
      </w:r>
    </w:p>
    <w:p>
      <w:pPr>
        <w:spacing w:after="0" w:line="198" w:lineRule="exact"/>
        <w:rPr>
          <w:sz w:val="20"/>
          <w:szCs w:val="20"/>
          <w:color w:val="auto"/>
        </w:rPr>
      </w:pPr>
    </w:p>
    <w:p>
      <w:pPr>
        <w:ind w:left="500" w:hanging="492"/>
        <w:spacing w:after="0"/>
        <w:tabs>
          <w:tab w:leader="none" w:pos="500" w:val="left"/>
        </w:tabs>
        <w:numPr>
          <w:ilvl w:val="0"/>
          <w:numId w:val="27"/>
        </w:numPr>
        <w:rPr>
          <w:rFonts w:ascii="Arial" w:cs="Arial" w:eastAsia="Arial" w:hAnsi="Arial"/>
          <w:sz w:val="17"/>
          <w:szCs w:val="17"/>
          <w:color w:val="auto"/>
        </w:rPr>
      </w:pPr>
      <w:r>
        <w:rPr>
          <w:rFonts w:ascii="Arial" w:cs="Arial" w:eastAsia="Arial" w:hAnsi="Arial"/>
          <w:sz w:val="17"/>
          <w:szCs w:val="17"/>
          <w:color w:val="auto"/>
        </w:rPr>
        <w:t>I have reviewed this Quarterly Report on Form 10-Q for the period ended June 30, 2021 of Verrica Pharmaceuticals Inc. (the “registrant”);</w:t>
      </w:r>
    </w:p>
    <w:p>
      <w:pPr>
        <w:spacing w:after="0" w:line="196" w:lineRule="exact"/>
        <w:rPr>
          <w:rFonts w:ascii="Arial" w:cs="Arial" w:eastAsia="Arial" w:hAnsi="Arial"/>
          <w:sz w:val="17"/>
          <w:szCs w:val="17"/>
          <w:color w:val="auto"/>
        </w:rPr>
      </w:pPr>
    </w:p>
    <w:p>
      <w:pPr>
        <w:jc w:val="both"/>
        <w:ind w:left="500" w:right="260" w:hanging="492"/>
        <w:spacing w:after="0" w:line="263" w:lineRule="auto"/>
        <w:tabs>
          <w:tab w:leader="none" w:pos="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3" w:lineRule="exact"/>
        <w:rPr>
          <w:rFonts w:ascii="Arial" w:cs="Arial" w:eastAsia="Arial" w:hAnsi="Arial"/>
          <w:sz w:val="18"/>
          <w:szCs w:val="18"/>
          <w:color w:val="auto"/>
        </w:rPr>
      </w:pPr>
    </w:p>
    <w:p>
      <w:pPr>
        <w:ind w:left="500" w:right="220" w:hanging="492"/>
        <w:spacing w:after="0" w:line="308" w:lineRule="auto"/>
        <w:tabs>
          <w:tab w:leader="none" w:pos="500" w:val="left"/>
        </w:tabs>
        <w:numPr>
          <w:ilvl w:val="0"/>
          <w:numId w:val="27"/>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05" w:lineRule="exact"/>
        <w:rPr>
          <w:rFonts w:ascii="Arial" w:cs="Arial" w:eastAsia="Arial" w:hAnsi="Arial"/>
          <w:sz w:val="17"/>
          <w:szCs w:val="17"/>
          <w:color w:val="auto"/>
        </w:rPr>
      </w:pPr>
    </w:p>
    <w:p>
      <w:pPr>
        <w:jc w:val="both"/>
        <w:ind w:left="500" w:right="260" w:hanging="492"/>
        <w:spacing w:after="0" w:line="263" w:lineRule="auto"/>
        <w:tabs>
          <w:tab w:leader="none" w:pos="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43" w:lineRule="exact"/>
        <w:rPr>
          <w:rFonts w:ascii="Arial" w:cs="Arial" w:eastAsia="Arial" w:hAnsi="Arial"/>
          <w:sz w:val="18"/>
          <w:szCs w:val="18"/>
          <w:color w:val="auto"/>
        </w:rPr>
      </w:pPr>
    </w:p>
    <w:p>
      <w:pPr>
        <w:ind w:left="1000" w:right="20" w:hanging="493"/>
        <w:spacing w:after="0" w:line="263" w:lineRule="auto"/>
        <w:tabs>
          <w:tab w:leader="none" w:pos="1000" w:val="left"/>
        </w:tabs>
        <w:numPr>
          <w:ilvl w:val="1"/>
          <w:numId w:val="2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3" w:lineRule="exact"/>
        <w:rPr>
          <w:rFonts w:ascii="Arial" w:cs="Arial" w:eastAsia="Arial" w:hAnsi="Arial"/>
          <w:sz w:val="18"/>
          <w:szCs w:val="18"/>
          <w:color w:val="auto"/>
        </w:rPr>
      </w:pPr>
    </w:p>
    <w:p>
      <w:pPr>
        <w:ind w:left="1000" w:right="340" w:hanging="493"/>
        <w:spacing w:after="0" w:line="263" w:lineRule="auto"/>
        <w:tabs>
          <w:tab w:leader="none" w:pos="1000" w:val="left"/>
        </w:tabs>
        <w:numPr>
          <w:ilvl w:val="1"/>
          <w:numId w:val="2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43" w:lineRule="exact"/>
        <w:rPr>
          <w:rFonts w:ascii="Arial" w:cs="Arial" w:eastAsia="Arial" w:hAnsi="Arial"/>
          <w:sz w:val="18"/>
          <w:szCs w:val="18"/>
          <w:color w:val="auto"/>
        </w:rPr>
      </w:pPr>
    </w:p>
    <w:p>
      <w:pPr>
        <w:jc w:val="both"/>
        <w:ind w:left="1000" w:right="500" w:hanging="493"/>
        <w:spacing w:after="0" w:line="342" w:lineRule="auto"/>
        <w:tabs>
          <w:tab w:leader="none" w:pos="1000" w:val="left"/>
        </w:tabs>
        <w:numPr>
          <w:ilvl w:val="1"/>
          <w:numId w:val="27"/>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83" w:lineRule="exact"/>
        <w:rPr>
          <w:rFonts w:ascii="Arial" w:cs="Arial" w:eastAsia="Arial" w:hAnsi="Arial"/>
          <w:sz w:val="16"/>
          <w:szCs w:val="16"/>
          <w:color w:val="auto"/>
        </w:rPr>
      </w:pPr>
    </w:p>
    <w:p>
      <w:pPr>
        <w:ind w:left="1000" w:right="20" w:hanging="493"/>
        <w:spacing w:after="0" w:line="263" w:lineRule="auto"/>
        <w:tabs>
          <w:tab w:leader="none" w:pos="1000" w:val="left"/>
        </w:tabs>
        <w:numPr>
          <w:ilvl w:val="1"/>
          <w:numId w:val="2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43" w:lineRule="exact"/>
        <w:rPr>
          <w:rFonts w:ascii="Arial" w:cs="Arial" w:eastAsia="Arial" w:hAnsi="Arial"/>
          <w:sz w:val="18"/>
          <w:szCs w:val="18"/>
          <w:color w:val="auto"/>
        </w:rPr>
      </w:pPr>
    </w:p>
    <w:p>
      <w:pPr>
        <w:ind w:left="500" w:right="220" w:hanging="492"/>
        <w:spacing w:after="0" w:line="342" w:lineRule="auto"/>
        <w:tabs>
          <w:tab w:leader="none" w:pos="500" w:val="left"/>
        </w:tabs>
        <w:numPr>
          <w:ilvl w:val="0"/>
          <w:numId w:val="27"/>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83" w:lineRule="exact"/>
        <w:rPr>
          <w:rFonts w:ascii="Arial" w:cs="Arial" w:eastAsia="Arial" w:hAnsi="Arial"/>
          <w:sz w:val="16"/>
          <w:szCs w:val="16"/>
          <w:color w:val="auto"/>
        </w:rPr>
      </w:pPr>
    </w:p>
    <w:p>
      <w:pPr>
        <w:ind w:left="1000" w:right="740" w:hanging="493"/>
        <w:spacing w:after="0" w:line="342" w:lineRule="auto"/>
        <w:tabs>
          <w:tab w:leader="none" w:pos="1000" w:val="left"/>
        </w:tabs>
        <w:numPr>
          <w:ilvl w:val="1"/>
          <w:numId w:val="27"/>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83" w:lineRule="exact"/>
        <w:rPr>
          <w:rFonts w:ascii="Arial" w:cs="Arial" w:eastAsia="Arial" w:hAnsi="Arial"/>
          <w:sz w:val="16"/>
          <w:szCs w:val="16"/>
          <w:color w:val="auto"/>
        </w:rPr>
      </w:pPr>
    </w:p>
    <w:p>
      <w:pPr>
        <w:ind w:left="1000" w:right="440" w:hanging="493"/>
        <w:spacing w:after="0" w:line="277" w:lineRule="auto"/>
        <w:tabs>
          <w:tab w:leader="none" w:pos="1000" w:val="left"/>
        </w:tabs>
        <w:numPr>
          <w:ilvl w:val="1"/>
          <w:numId w:val="2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Date: August 10, 2021</w:t>
      </w:r>
    </w:p>
    <w:p>
      <w:pPr>
        <w:spacing w:after="0" w:line="252"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/s/ Ted White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14605</wp:posOffset>
            </wp:positionV>
            <wp:extent cx="284607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extLst>
                    </a:blip>
                    <a:srcRect/>
                    <a:stretch>
                      <a:fillRect/>
                    </a:stretch>
                  </pic:blipFill>
                  <pic:spPr bwMode="auto">
                    <a:xfrm>
                      <a:off x="0" y="0"/>
                      <a:ext cx="2846070" cy="8890"/>
                    </a:xfrm>
                    <a:prstGeom prst="rect">
                      <a:avLst/>
                    </a:prstGeom>
                    <a:noFill/>
                  </pic:spPr>
                </pic:pic>
              </a:graphicData>
            </a:graphic>
          </wp:anchor>
        </w:drawing>
      </w:r>
    </w:p>
    <w:p>
      <w:pPr>
        <w:spacing w:after="0" w:line="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Ted White</w:t>
      </w:r>
    </w:p>
    <w:p>
      <w:pPr>
        <w:spacing w:after="0" w:line="2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President and Chief Executive Officer</w:t>
      </w:r>
    </w:p>
    <w:p>
      <w:pPr>
        <w:spacing w:after="0" w:line="9"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337" w:right="339" w:bottom="1440" w:gutter="0" w:footer="0" w:header="0"/>
        </w:sectPr>
      </w:pPr>
    </w:p>
    <w:bookmarkStart w:id="33" w:name="page34"/>
    <w:bookmarkEnd w:id="33"/>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line="266" w:lineRule="auto"/>
        <w:rPr>
          <w:sz w:val="20"/>
          <w:szCs w:val="20"/>
          <w:color w:val="auto"/>
        </w:rPr>
      </w:pPr>
      <w:r>
        <w:rPr>
          <w:rFonts w:ascii="Arial" w:cs="Arial" w:eastAsia="Arial" w:hAnsi="Arial"/>
          <w:sz w:val="18"/>
          <w:szCs w:val="18"/>
          <w:b w:val="1"/>
          <w:bCs w:val="1"/>
          <w:color w:val="auto"/>
        </w:rPr>
        <w:t>VERRICA PHARMACEUTICALS INC. CERTIFICATION OF PRINCIPAL EXECUTIVE OFFICER PURSUANT TO SECTION 302 OF THE SARBANES-OXLEY ACT OF 2002</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color w:val="auto"/>
        </w:rPr>
        <w:t>I, P. Terence Kohler Jr., certify that:</w:t>
      </w:r>
    </w:p>
    <w:p>
      <w:pPr>
        <w:spacing w:after="0" w:line="198" w:lineRule="exact"/>
        <w:rPr>
          <w:sz w:val="20"/>
          <w:szCs w:val="20"/>
          <w:color w:val="auto"/>
        </w:rPr>
      </w:pPr>
    </w:p>
    <w:p>
      <w:pPr>
        <w:ind w:left="500" w:hanging="492"/>
        <w:spacing w:after="0"/>
        <w:tabs>
          <w:tab w:leader="none" w:pos="500" w:val="left"/>
        </w:tabs>
        <w:numPr>
          <w:ilvl w:val="0"/>
          <w:numId w:val="28"/>
        </w:numPr>
        <w:rPr>
          <w:rFonts w:ascii="Arial" w:cs="Arial" w:eastAsia="Arial" w:hAnsi="Arial"/>
          <w:sz w:val="17"/>
          <w:szCs w:val="17"/>
          <w:color w:val="auto"/>
        </w:rPr>
      </w:pPr>
      <w:r>
        <w:rPr>
          <w:rFonts w:ascii="Arial" w:cs="Arial" w:eastAsia="Arial" w:hAnsi="Arial"/>
          <w:sz w:val="17"/>
          <w:szCs w:val="17"/>
          <w:color w:val="auto"/>
        </w:rPr>
        <w:t>I have reviewed this Quarterly Report on Form 10-Q for the period ended June 30, 2021 of Verrica Pharmaceuticals Inc. (the “registrant”);</w:t>
      </w:r>
    </w:p>
    <w:p>
      <w:pPr>
        <w:spacing w:after="0" w:line="196" w:lineRule="exact"/>
        <w:rPr>
          <w:rFonts w:ascii="Arial" w:cs="Arial" w:eastAsia="Arial" w:hAnsi="Arial"/>
          <w:sz w:val="17"/>
          <w:szCs w:val="17"/>
          <w:color w:val="auto"/>
        </w:rPr>
      </w:pPr>
    </w:p>
    <w:p>
      <w:pPr>
        <w:jc w:val="both"/>
        <w:ind w:left="500" w:right="260" w:hanging="492"/>
        <w:spacing w:after="0" w:line="263" w:lineRule="auto"/>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3" w:lineRule="exact"/>
        <w:rPr>
          <w:rFonts w:ascii="Arial" w:cs="Arial" w:eastAsia="Arial" w:hAnsi="Arial"/>
          <w:sz w:val="18"/>
          <w:szCs w:val="18"/>
          <w:color w:val="auto"/>
        </w:rPr>
      </w:pPr>
    </w:p>
    <w:p>
      <w:pPr>
        <w:ind w:left="500" w:right="220" w:hanging="492"/>
        <w:spacing w:after="0" w:line="308" w:lineRule="auto"/>
        <w:tabs>
          <w:tab w:leader="none" w:pos="500" w:val="left"/>
        </w:tabs>
        <w:numPr>
          <w:ilvl w:val="0"/>
          <w:numId w:val="28"/>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05" w:lineRule="exact"/>
        <w:rPr>
          <w:rFonts w:ascii="Arial" w:cs="Arial" w:eastAsia="Arial" w:hAnsi="Arial"/>
          <w:sz w:val="17"/>
          <w:szCs w:val="17"/>
          <w:color w:val="auto"/>
        </w:rPr>
      </w:pPr>
    </w:p>
    <w:p>
      <w:pPr>
        <w:jc w:val="both"/>
        <w:ind w:left="500" w:right="260" w:hanging="492"/>
        <w:spacing w:after="0" w:line="263" w:lineRule="auto"/>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43" w:lineRule="exact"/>
        <w:rPr>
          <w:rFonts w:ascii="Arial" w:cs="Arial" w:eastAsia="Arial" w:hAnsi="Arial"/>
          <w:sz w:val="18"/>
          <w:szCs w:val="18"/>
          <w:color w:val="auto"/>
        </w:rPr>
      </w:pPr>
    </w:p>
    <w:p>
      <w:pPr>
        <w:ind w:left="1000" w:right="20" w:hanging="493"/>
        <w:spacing w:after="0" w:line="263" w:lineRule="auto"/>
        <w:tabs>
          <w:tab w:leader="none" w:pos="1000" w:val="left"/>
        </w:tabs>
        <w:numPr>
          <w:ilvl w:val="1"/>
          <w:numId w:val="2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3" w:lineRule="exact"/>
        <w:rPr>
          <w:rFonts w:ascii="Arial" w:cs="Arial" w:eastAsia="Arial" w:hAnsi="Arial"/>
          <w:sz w:val="18"/>
          <w:szCs w:val="18"/>
          <w:color w:val="auto"/>
        </w:rPr>
      </w:pPr>
    </w:p>
    <w:p>
      <w:pPr>
        <w:ind w:left="1000" w:right="340" w:hanging="493"/>
        <w:spacing w:after="0" w:line="263" w:lineRule="auto"/>
        <w:tabs>
          <w:tab w:leader="none" w:pos="1000" w:val="left"/>
        </w:tabs>
        <w:numPr>
          <w:ilvl w:val="1"/>
          <w:numId w:val="28"/>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43" w:lineRule="exact"/>
        <w:rPr>
          <w:rFonts w:ascii="Arial" w:cs="Arial" w:eastAsia="Arial" w:hAnsi="Arial"/>
          <w:sz w:val="18"/>
          <w:szCs w:val="18"/>
          <w:color w:val="auto"/>
        </w:rPr>
      </w:pPr>
    </w:p>
    <w:p>
      <w:pPr>
        <w:jc w:val="both"/>
        <w:ind w:left="1000" w:right="500" w:hanging="493"/>
        <w:spacing w:after="0" w:line="342" w:lineRule="auto"/>
        <w:tabs>
          <w:tab w:leader="none" w:pos="1000" w:val="left"/>
        </w:tabs>
        <w:numPr>
          <w:ilvl w:val="1"/>
          <w:numId w:val="28"/>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83" w:lineRule="exact"/>
        <w:rPr>
          <w:rFonts w:ascii="Arial" w:cs="Arial" w:eastAsia="Arial" w:hAnsi="Arial"/>
          <w:sz w:val="16"/>
          <w:szCs w:val="16"/>
          <w:color w:val="auto"/>
        </w:rPr>
      </w:pPr>
    </w:p>
    <w:p>
      <w:pPr>
        <w:ind w:left="1000" w:right="20" w:hanging="493"/>
        <w:spacing w:after="0" w:line="263" w:lineRule="auto"/>
        <w:tabs>
          <w:tab w:leader="none" w:pos="1000" w:val="left"/>
        </w:tabs>
        <w:numPr>
          <w:ilvl w:val="1"/>
          <w:numId w:val="2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43" w:lineRule="exact"/>
        <w:rPr>
          <w:rFonts w:ascii="Arial" w:cs="Arial" w:eastAsia="Arial" w:hAnsi="Arial"/>
          <w:sz w:val="18"/>
          <w:szCs w:val="18"/>
          <w:color w:val="auto"/>
        </w:rPr>
      </w:pPr>
    </w:p>
    <w:p>
      <w:pPr>
        <w:ind w:left="500" w:right="220" w:hanging="492"/>
        <w:spacing w:after="0" w:line="342" w:lineRule="auto"/>
        <w:tabs>
          <w:tab w:leader="none" w:pos="500"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83" w:lineRule="exact"/>
        <w:rPr>
          <w:rFonts w:ascii="Arial" w:cs="Arial" w:eastAsia="Arial" w:hAnsi="Arial"/>
          <w:sz w:val="16"/>
          <w:szCs w:val="16"/>
          <w:color w:val="auto"/>
        </w:rPr>
      </w:pPr>
    </w:p>
    <w:p>
      <w:pPr>
        <w:ind w:left="1000" w:right="740" w:hanging="493"/>
        <w:spacing w:after="0" w:line="342" w:lineRule="auto"/>
        <w:tabs>
          <w:tab w:leader="none" w:pos="1000" w:val="left"/>
        </w:tabs>
        <w:numPr>
          <w:ilvl w:val="1"/>
          <w:numId w:val="28"/>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83" w:lineRule="exact"/>
        <w:rPr>
          <w:rFonts w:ascii="Arial" w:cs="Arial" w:eastAsia="Arial" w:hAnsi="Arial"/>
          <w:sz w:val="16"/>
          <w:szCs w:val="16"/>
          <w:color w:val="auto"/>
        </w:rPr>
      </w:pPr>
    </w:p>
    <w:p>
      <w:pPr>
        <w:ind w:left="1000" w:right="440" w:hanging="493"/>
        <w:spacing w:after="0" w:line="277" w:lineRule="auto"/>
        <w:tabs>
          <w:tab w:leader="none" w:pos="1000" w:val="left"/>
        </w:tabs>
        <w:numPr>
          <w:ilvl w:val="1"/>
          <w:numId w:val="2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Date: August 10, 2021</w:t>
      </w:r>
    </w:p>
    <w:p>
      <w:pPr>
        <w:spacing w:after="0" w:line="252"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/s/ P. Terence Kohler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14605</wp:posOffset>
            </wp:positionV>
            <wp:extent cx="284607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extLst>
                        <a:ext uri="{28A0092B-C50C-407E-A947-70E740481C1C}"/>
                      </a:extLst>
                    </a:blip>
                    <a:srcRect/>
                    <a:stretch>
                      <a:fillRect/>
                    </a:stretch>
                  </pic:blipFill>
                  <pic:spPr bwMode="auto">
                    <a:xfrm>
                      <a:off x="0" y="0"/>
                      <a:ext cx="2846070" cy="8890"/>
                    </a:xfrm>
                    <a:prstGeom prst="rect">
                      <a:avLst/>
                    </a:prstGeom>
                    <a:noFill/>
                  </pic:spPr>
                </pic:pic>
              </a:graphicData>
            </a:graphic>
          </wp:anchor>
        </w:drawing>
      </w:r>
    </w:p>
    <w:p>
      <w:pPr>
        <w:spacing w:after="0" w:line="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P. Terence Kohler Jr.</w:t>
      </w:r>
    </w:p>
    <w:p>
      <w:pPr>
        <w:spacing w:after="0" w:line="2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(principal financial officer)</w:t>
      </w:r>
    </w:p>
    <w:p>
      <w:pPr>
        <w:sectPr>
          <w:pgSz w:w="11900" w:h="16838" w:orient="portrait"/>
          <w:cols w:equalWidth="0" w:num="1">
            <w:col w:w="11240"/>
          </w:cols>
          <w:pgMar w:left="320" w:top="337" w:right="339" w:bottom="1440" w:gutter="0" w:footer="0" w:header="0"/>
        </w:sectPr>
      </w:pPr>
    </w:p>
    <w:bookmarkStart w:id="34" w:name="page35"/>
    <w:bookmarkEnd w:id="34"/>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VERRICA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EXECUTIVE OFFICER AND PRINCIPAL FINANCIAL OFFICER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right="20" w:firstLine="509"/>
        <w:spacing w:after="0" w:line="311" w:lineRule="auto"/>
        <w:rPr>
          <w:sz w:val="20"/>
          <w:szCs w:val="20"/>
          <w:color w:val="auto"/>
        </w:rPr>
      </w:pPr>
      <w:r>
        <w:rPr>
          <w:rFonts w:ascii="Arial" w:cs="Arial" w:eastAsia="Arial" w:hAnsi="Arial"/>
          <w:sz w:val="16"/>
          <w:szCs w:val="16"/>
          <w:color w:val="auto"/>
        </w:rPr>
        <w:t>Pursuant to the requirement set forth in Rule 13a-14(b) of the Securities Exchange Act of 1934, as amended, (the “Exchange Act”) and Section 1350 of Chapter 63 of Title 18 of the United States Code (18 U.S.C. §1350),Ted White, President and Chief Executive Officer of Verrica Pharmaceuticals Inc. (the “Company”), and P. Terence Kohler Jr., Chief Financial Officer of the Company, each hereby certifies that, to the best of his knowledge:</w:t>
      </w:r>
    </w:p>
    <w:p>
      <w:pPr>
        <w:spacing w:after="0" w:line="41" w:lineRule="exact"/>
        <w:rPr>
          <w:sz w:val="20"/>
          <w:szCs w:val="20"/>
          <w:color w:val="auto"/>
        </w:rPr>
      </w:pPr>
    </w:p>
    <w:p>
      <w:pPr>
        <w:ind w:left="500" w:right="460" w:hanging="492"/>
        <w:spacing w:after="0" w:line="308" w:lineRule="auto"/>
        <w:tabs>
          <w:tab w:leader="none" w:pos="500" w:val="left"/>
        </w:tabs>
        <w:numPr>
          <w:ilvl w:val="0"/>
          <w:numId w:val="29"/>
        </w:numPr>
        <w:rPr>
          <w:rFonts w:ascii="Arial" w:cs="Arial" w:eastAsia="Arial" w:hAnsi="Arial"/>
          <w:sz w:val="17"/>
          <w:szCs w:val="17"/>
          <w:b w:val="1"/>
          <w:bCs w:val="1"/>
          <w:color w:val="auto"/>
        </w:rPr>
      </w:pPr>
      <w:r>
        <w:rPr>
          <w:rFonts w:ascii="Arial" w:cs="Arial" w:eastAsia="Arial" w:hAnsi="Arial"/>
          <w:sz w:val="17"/>
          <w:szCs w:val="17"/>
          <w:color w:val="auto"/>
        </w:rPr>
        <w:t>The Company’s Quarterly Report on Form 10-Q for the period ended June 30, 2021, to which this Certification is attached as Exhibit 32.1 (the “Periodic Report”), fully complies with the requirements of Section 13(a) or Section 15(d) of the Exchange Act; and</w:t>
      </w:r>
    </w:p>
    <w:p>
      <w:pPr>
        <w:spacing w:after="0" w:line="38" w:lineRule="exact"/>
        <w:rPr>
          <w:rFonts w:ascii="Arial" w:cs="Arial" w:eastAsia="Arial" w:hAnsi="Arial"/>
          <w:sz w:val="17"/>
          <w:szCs w:val="17"/>
          <w:b w:val="1"/>
          <w:bCs w:val="1"/>
          <w:color w:val="auto"/>
        </w:rPr>
      </w:pPr>
    </w:p>
    <w:p>
      <w:pPr>
        <w:ind w:left="500" w:right="420" w:hanging="492"/>
        <w:spacing w:after="0" w:line="277" w:lineRule="auto"/>
        <w:tabs>
          <w:tab w:leader="none" w:pos="500" w:val="left"/>
        </w:tabs>
        <w:numPr>
          <w:ilvl w:val="0"/>
          <w:numId w:val="29"/>
        </w:numPr>
        <w:rPr>
          <w:rFonts w:ascii="Arial" w:cs="Arial" w:eastAsia="Arial" w:hAnsi="Arial"/>
          <w:sz w:val="18"/>
          <w:szCs w:val="18"/>
          <w:b w:val="1"/>
          <w:bCs w:val="1"/>
          <w:color w:val="auto"/>
        </w:rPr>
      </w:pPr>
      <w:r>
        <w:rPr>
          <w:rFonts w:ascii="Arial" w:cs="Arial" w:eastAsia="Arial" w:hAnsi="Arial"/>
          <w:sz w:val="18"/>
          <w:szCs w:val="18"/>
          <w:color w:val="auto"/>
        </w:rPr>
        <w:t>The information contained in the Periodic Report fairly presents, in all material respects, the financial condition and results of operations of the Company.</w:t>
      </w:r>
    </w:p>
    <w:p>
      <w:pPr>
        <w:spacing w:after="0" w:line="166" w:lineRule="exact"/>
        <w:rPr>
          <w:rFonts w:ascii="Arial" w:cs="Arial" w:eastAsia="Arial" w:hAnsi="Arial"/>
          <w:sz w:val="18"/>
          <w:szCs w:val="18"/>
          <w:b w:val="1"/>
          <w:bCs w:val="1"/>
          <w:color w:val="auto"/>
        </w:rPr>
      </w:pPr>
    </w:p>
    <w:p>
      <w:pPr>
        <w:ind w:left="520"/>
        <w:spacing w:after="0"/>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IN WITNESS WHEREOF </w:t>
      </w:r>
      <w:r>
        <w:rPr>
          <w:rFonts w:ascii="Arial" w:cs="Arial" w:eastAsia="Arial" w:hAnsi="Arial"/>
          <w:sz w:val="18"/>
          <w:szCs w:val="18"/>
          <w:color w:val="auto"/>
        </w:rPr>
        <w:t>, the undersigned have set their hands hereto as of the 10th day of August, 2021.</w:t>
      </w: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980" w:type="dxa"/>
            <w:vAlign w:val="bottom"/>
            <w:gridSpan w:val="2"/>
          </w:tcPr>
          <w:p>
            <w:pPr>
              <w:spacing w:after="0"/>
              <w:rPr>
                <w:sz w:val="20"/>
                <w:szCs w:val="20"/>
                <w:color w:val="auto"/>
              </w:rPr>
            </w:pPr>
            <w:r>
              <w:rPr>
                <w:rFonts w:ascii="Arial" w:cs="Arial" w:eastAsia="Arial" w:hAnsi="Arial"/>
                <w:sz w:val="18"/>
                <w:szCs w:val="18"/>
                <w:color w:val="auto"/>
              </w:rPr>
              <w:t>/s/ Ted White</w:t>
            </w:r>
          </w:p>
        </w:tc>
        <w:tc>
          <w:tcPr>
            <w:tcW w:w="5260" w:type="dxa"/>
            <w:vAlign w:val="bottom"/>
          </w:tcPr>
          <w:p>
            <w:pPr>
              <w:spacing w:after="0"/>
              <w:rPr>
                <w:sz w:val="20"/>
                <w:szCs w:val="20"/>
                <w:color w:val="auto"/>
              </w:rPr>
            </w:pPr>
            <w:r>
              <w:rPr>
                <w:rFonts w:ascii="Arial" w:cs="Arial" w:eastAsia="Arial" w:hAnsi="Arial"/>
                <w:sz w:val="18"/>
                <w:szCs w:val="18"/>
                <w:color w:val="auto"/>
              </w:rPr>
              <w:t>/s/ P. Terrence Kohler Jr.</w:t>
            </w:r>
          </w:p>
        </w:tc>
      </w:tr>
      <w:tr>
        <w:trPr>
          <w:trHeight w:val="195"/>
        </w:trPr>
        <w:tc>
          <w:tcPr>
            <w:tcW w:w="52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Ted White</w:t>
            </w:r>
          </w:p>
        </w:tc>
        <w:tc>
          <w:tcPr>
            <w:tcW w:w="700" w:type="dxa"/>
            <w:vAlign w:val="bottom"/>
          </w:tcPr>
          <w:p>
            <w:pPr>
              <w:spacing w:after="0"/>
              <w:rPr>
                <w:sz w:val="16"/>
                <w:szCs w:val="16"/>
                <w:color w:val="auto"/>
              </w:rPr>
            </w:pPr>
          </w:p>
        </w:tc>
        <w:tc>
          <w:tcPr>
            <w:tcW w:w="52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P. Terence Kohler Jr.</w:t>
            </w:r>
          </w:p>
        </w:tc>
      </w:tr>
      <w:tr>
        <w:trPr>
          <w:trHeight w:val="216"/>
        </w:trPr>
        <w:tc>
          <w:tcPr>
            <w:tcW w:w="5980" w:type="dxa"/>
            <w:vAlign w:val="bottom"/>
            <w:gridSpan w:val="2"/>
          </w:tcPr>
          <w:p>
            <w:pPr>
              <w:spacing w:after="0"/>
              <w:rPr>
                <w:sz w:val="20"/>
                <w:szCs w:val="20"/>
                <w:color w:val="auto"/>
              </w:rPr>
            </w:pPr>
            <w:r>
              <w:rPr>
                <w:rFonts w:ascii="Arial" w:cs="Arial" w:eastAsia="Arial" w:hAnsi="Arial"/>
                <w:sz w:val="18"/>
                <w:szCs w:val="18"/>
                <w:color w:val="auto"/>
              </w:rPr>
              <w:t>President and Chief Executive Officer</w:t>
            </w:r>
          </w:p>
        </w:tc>
        <w:tc>
          <w:tcPr>
            <w:tcW w:w="526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230"/>
        </w:trPr>
        <w:tc>
          <w:tcPr>
            <w:tcW w:w="5980" w:type="dxa"/>
            <w:vAlign w:val="bottom"/>
            <w:gridSpan w:val="2"/>
          </w:tcPr>
          <w:p>
            <w:pPr>
              <w:spacing w:after="0"/>
              <w:rPr>
                <w:sz w:val="20"/>
                <w:szCs w:val="20"/>
                <w:color w:val="auto"/>
              </w:rPr>
            </w:pPr>
            <w:r>
              <w:rPr>
                <w:rFonts w:ascii="Arial" w:cs="Arial" w:eastAsia="Arial" w:hAnsi="Arial"/>
                <w:sz w:val="18"/>
                <w:szCs w:val="18"/>
                <w:color w:val="auto"/>
              </w:rPr>
              <w:t>(principal executive officer)</w:t>
            </w:r>
          </w:p>
        </w:tc>
        <w:tc>
          <w:tcPr>
            <w:tcW w:w="5260" w:type="dxa"/>
            <w:vAlign w:val="bottom"/>
          </w:tcPr>
          <w:p>
            <w:pPr>
              <w:spacing w:after="0"/>
              <w:rPr>
                <w:sz w:val="20"/>
                <w:szCs w:val="20"/>
                <w:color w:val="auto"/>
              </w:rPr>
            </w:pPr>
            <w:r>
              <w:rPr>
                <w:rFonts w:ascii="Arial" w:cs="Arial" w:eastAsia="Arial" w:hAnsi="Arial"/>
                <w:sz w:val="18"/>
                <w:szCs w:val="18"/>
                <w:color w:val="auto"/>
              </w:rPr>
              <w:t>(principal financial officer)</w:t>
            </w:r>
          </w:p>
        </w:tc>
      </w:tr>
    </w:tbl>
    <w:p>
      <w:pPr>
        <w:spacing w:after="0" w:line="229" w:lineRule="exact"/>
        <w:rPr>
          <w:sz w:val="20"/>
          <w:szCs w:val="20"/>
          <w:color w:val="auto"/>
        </w:rPr>
      </w:pPr>
    </w:p>
    <w:p>
      <w:pPr>
        <w:jc w:val="both"/>
        <w:ind w:left="500" w:right="80" w:hanging="492"/>
        <w:spacing w:after="0" w:line="286" w:lineRule="auto"/>
        <w:tabs>
          <w:tab w:leader="none" w:pos="500" w:val="left"/>
        </w:tabs>
        <w:numPr>
          <w:ilvl w:val="0"/>
          <w:numId w:val="30"/>
        </w:numPr>
        <w:rPr>
          <w:rFonts w:ascii="Arial" w:cs="Arial" w:eastAsia="Arial" w:hAnsi="Arial"/>
          <w:sz w:val="17"/>
          <w:szCs w:val="17"/>
          <w:color w:val="auto"/>
        </w:rPr>
      </w:pPr>
      <w:r>
        <w:rPr>
          <w:rFonts w:ascii="Arial" w:cs="Arial" w:eastAsia="Arial" w:hAnsi="Arial"/>
          <w:sz w:val="17"/>
          <w:szCs w:val="17"/>
          <w:color w:val="auto"/>
        </w:rPr>
        <w:t>This certification accompanies the Form 10-Q to which it relates, is not deemed filed with the Securities and Exchange Commission and is not to be incorporated by reference into any filing of the Company under the Securities Act of 1933, as amended, or the Exchange Act (whether made before or after the date of the Form 10-Q), irrespective of any general incorporation language contained in such filing.</w:t>
      </w:r>
    </w:p>
    <w:sectPr>
      <w:pgSz w:w="11900" w:h="16838" w:orient="portrait"/>
      <w:cols w:equalWidth="0" w:num="1">
        <w:col w:w="11240"/>
      </w:cols>
      <w:pgMar w:left="320" w:top="33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41A7C4C9"/>
    <w:multiLevelType w:val="hybridMultilevel"/>
    <w:lvl w:ilvl="0">
      <w:lvlJc w:val="left"/>
      <w:lvlText w:val="☒"/>
      <w:numFmt w:val="bullet"/>
      <w:start w:val="1"/>
    </w:lvl>
  </w:abstractNum>
  <w:abstractNum w:abstractNumId="1">
    <w:nsid w:val="6B68079A"/>
    <w:multiLevelType w:val="hybridMultilevel"/>
    <w:lvl w:ilvl="0">
      <w:lvlJc w:val="left"/>
      <w:lvlText w:val="☐"/>
      <w:numFmt w:val="bullet"/>
      <w:start w:val="1"/>
    </w:lvl>
  </w:abstractNum>
  <w:abstractNum w:abstractNumId="2">
    <w:nsid w:val="4E6AFB66"/>
    <w:multiLevelType w:val="hybridMultilevel"/>
    <w:lvl w:ilvl="0">
      <w:lvlJc w:val="left"/>
      <w:lvlText w:val="(%1)"/>
      <w:numFmt w:val="lowerRoman"/>
      <w:start w:val="1"/>
    </w:lvl>
  </w:abstractNum>
  <w:abstractNum w:abstractNumId="3">
    <w:nsid w:val="25E45D32"/>
    <w:multiLevelType w:val="hybridMultilevel"/>
    <w:lvl w:ilvl="0">
      <w:lvlJc w:val="left"/>
      <w:lvlText w:val="(%1)"/>
      <w:numFmt w:val="lowerRoman"/>
      <w:start w:val="1"/>
    </w:lvl>
  </w:abstractNum>
  <w:abstractNum w:abstractNumId="4">
    <w:nsid w:val="519B500D"/>
    <w:multiLevelType w:val="hybridMultilevel"/>
    <w:lvl w:ilvl="0">
      <w:lvlJc w:val="left"/>
      <w:lvlText w:val="•"/>
      <w:numFmt w:val="bullet"/>
      <w:start w:val="1"/>
    </w:lvl>
  </w:abstractNum>
  <w:abstractNum w:abstractNumId="5">
    <w:nsid w:val="431BD7B7"/>
    <w:multiLevelType w:val="hybridMultilevel"/>
    <w:lvl w:ilvl="0">
      <w:lvlJc w:val="left"/>
      <w:lvlText w:val="•"/>
      <w:numFmt w:val="bullet"/>
      <w:start w:val="1"/>
    </w:lvl>
  </w:abstractNum>
  <w:abstractNum w:abstractNumId="6">
    <w:nsid w:val="3F2DBA31"/>
    <w:multiLevelType w:val="hybridMultilevel"/>
    <w:lvl w:ilvl="0">
      <w:lvlJc w:val="left"/>
      <w:lvlText w:val="•"/>
      <w:numFmt w:val="bullet"/>
      <w:start w:val="1"/>
    </w:lvl>
  </w:abstractNum>
  <w:abstractNum w:abstractNumId="7">
    <w:nsid w:val="7C83E458"/>
    <w:multiLevelType w:val="hybridMultilevel"/>
    <w:lvl w:ilvl="0">
      <w:lvlJc w:val="left"/>
      <w:lvlText w:val="•"/>
      <w:numFmt w:val="bullet"/>
      <w:start w:val="1"/>
    </w:lvl>
  </w:abstractNum>
  <w:abstractNum w:abstractNumId="8">
    <w:nsid w:val="257130A3"/>
    <w:multiLevelType w:val="hybridMultilevel"/>
    <w:lvl w:ilvl="0">
      <w:lvlJc w:val="left"/>
      <w:lvlText w:val="(%1)"/>
      <w:numFmt w:val="lowerRoman"/>
      <w:start w:val="1"/>
    </w:lvl>
  </w:abstractNum>
  <w:abstractNum w:abstractNumId="9">
    <w:nsid w:val="62BBD95A"/>
    <w:multiLevelType w:val="hybridMultilevel"/>
    <w:lvl w:ilvl="0">
      <w:lvlJc w:val="left"/>
      <w:lvlText w:val="•"/>
      <w:numFmt w:val="bullet"/>
      <w:start w:val="1"/>
    </w:lvl>
  </w:abstractNum>
  <w:abstractNum w:abstractNumId="10">
    <w:nsid w:val="436C6125"/>
    <w:multiLevelType w:val="hybridMultilevel"/>
    <w:lvl w:ilvl="0">
      <w:lvlJc w:val="left"/>
      <w:lvlText w:val="•"/>
      <w:numFmt w:val="bullet"/>
      <w:start w:val="1"/>
    </w:lvl>
  </w:abstractNum>
  <w:abstractNum w:abstractNumId="11">
    <w:nsid w:val="628C895D"/>
    <w:multiLevelType w:val="hybridMultilevel"/>
    <w:lvl w:ilvl="0">
      <w:lvlJc w:val="left"/>
      <w:lvlText w:val="o"/>
      <w:numFmt w:val="bullet"/>
      <w:start w:val="1"/>
    </w:lvl>
  </w:abstractNum>
  <w:abstractNum w:abstractNumId="12">
    <w:nsid w:val="333AB105"/>
    <w:multiLevelType w:val="hybridMultilevel"/>
    <w:lvl w:ilvl="0">
      <w:lvlJc w:val="left"/>
      <w:lvlText w:val="•"/>
      <w:numFmt w:val="bullet"/>
      <w:start w:val="1"/>
    </w:lvl>
    <w:lvl w:ilvl="1">
      <w:lvlJc w:val="left"/>
      <w:lvlText w:val="o"/>
      <w:numFmt w:val="bullet"/>
      <w:start w:val="1"/>
    </w:lvl>
  </w:abstractNum>
  <w:abstractNum w:abstractNumId="13">
    <w:nsid w:val="721DA317"/>
    <w:multiLevelType w:val="hybridMultilevel"/>
    <w:lvl w:ilvl="0">
      <w:lvlJc w:val="left"/>
      <w:lvlText w:val="•"/>
      <w:numFmt w:val="bullet"/>
      <w:start w:val="1"/>
    </w:lvl>
    <w:lvl w:ilvl="1">
      <w:lvlJc w:val="left"/>
      <w:lvlText w:val="o"/>
      <w:numFmt w:val="bullet"/>
      <w:start w:val="1"/>
    </w:lvl>
  </w:abstractNum>
  <w:abstractNum w:abstractNumId="14">
    <w:nsid w:val="2443A858"/>
    <w:multiLevelType w:val="hybridMultilevel"/>
    <w:lvl w:ilvl="0">
      <w:lvlJc w:val="left"/>
      <w:lvlText w:val="•"/>
      <w:numFmt w:val="bullet"/>
      <w:start w:val="1"/>
    </w:lvl>
    <w:lvl w:ilvl="1">
      <w:lvlJc w:val="left"/>
      <w:lvlText w:val="o"/>
      <w:numFmt w:val="bullet"/>
      <w:start w:val="1"/>
    </w:lvl>
  </w:abstractNum>
  <w:abstractNum w:abstractNumId="15">
    <w:nsid w:val="2D1D5AE9"/>
    <w:multiLevelType w:val="hybridMultilevel"/>
    <w:lvl w:ilvl="0">
      <w:lvlJc w:val="left"/>
      <w:lvlText w:val="o"/>
      <w:numFmt w:val="bullet"/>
      <w:start w:val="1"/>
    </w:lvl>
  </w:abstractNum>
  <w:abstractNum w:abstractNumId="16">
    <w:nsid w:val="6763845E"/>
    <w:multiLevelType w:val="hybridMultilevel"/>
    <w:lvl w:ilvl="0">
      <w:lvlJc w:val="left"/>
      <w:lvlText w:val="o"/>
      <w:numFmt w:val="bullet"/>
      <w:start w:val="1"/>
    </w:lvl>
  </w:abstractNum>
  <w:abstractNum w:abstractNumId="17">
    <w:nsid w:val="75A2A8D4"/>
    <w:multiLevelType w:val="hybridMultilevel"/>
    <w:lvl w:ilvl="0">
      <w:lvlJc w:val="left"/>
      <w:lvlText w:val="•"/>
      <w:numFmt w:val="bullet"/>
      <w:start w:val="1"/>
    </w:lvl>
  </w:abstractNum>
  <w:abstractNum w:abstractNumId="18">
    <w:nsid w:val="8EDBDAB"/>
    <w:multiLevelType w:val="hybridMultilevel"/>
    <w:lvl w:ilvl="0">
      <w:lvlJc w:val="left"/>
      <w:lvlText w:val="•"/>
      <w:numFmt w:val="bullet"/>
      <w:start w:val="1"/>
    </w:lvl>
    <w:lvl w:ilvl="1">
      <w:lvlJc w:val="left"/>
      <w:lvlText w:val="o"/>
      <w:numFmt w:val="bullet"/>
      <w:start w:val="1"/>
    </w:lvl>
  </w:abstractNum>
  <w:abstractNum w:abstractNumId="19">
    <w:nsid w:val="79838CB2"/>
    <w:multiLevelType w:val="hybridMultilevel"/>
    <w:lvl w:ilvl="0">
      <w:lvlJc w:val="left"/>
      <w:lvlText w:val="•"/>
      <w:numFmt w:val="bullet"/>
      <w:start w:val="1"/>
    </w:lvl>
    <w:lvl w:ilvl="1">
      <w:lvlJc w:val="left"/>
      <w:lvlText w:val="o"/>
      <w:numFmt w:val="bullet"/>
      <w:start w:val="1"/>
    </w:lvl>
  </w:abstractNum>
  <w:abstractNum w:abstractNumId="20">
    <w:nsid w:val="4353D0CD"/>
    <w:multiLevelType w:val="hybridMultilevel"/>
    <w:lvl w:ilvl="0">
      <w:lvlJc w:val="left"/>
      <w:lvlText w:val="(%1)"/>
      <w:numFmt w:val="lowerLetter"/>
      <w:start w:val="1"/>
    </w:lvl>
  </w:abstractNum>
  <w:abstractNum w:abstractNumId="21">
    <w:nsid w:val="B03E0C6"/>
    <w:multiLevelType w:val="hybridMultilevel"/>
    <w:lvl w:ilvl="0">
      <w:lvlJc w:val="left"/>
      <w:lvlText w:val="%1"/>
      <w:numFmt w:val="decimal"/>
      <w:start w:val="1"/>
    </w:lvl>
    <w:lvl w:ilvl="1">
      <w:lvlJc w:val="left"/>
      <w:lvlText w:val="%2"/>
      <w:numFmt w:val="decimal"/>
      <w:start w:val="104"/>
    </w:lvl>
  </w:abstractNum>
  <w:abstractNum w:abstractNumId="22">
    <w:nsid w:val="189A769B"/>
    <w:multiLevelType w:val="hybridMultilevel"/>
    <w:lvl w:ilvl="0">
      <w:lvlJc w:val="left"/>
      <w:lvlText w:val="(%1)"/>
      <w:numFmt w:val="decimal"/>
      <w:start w:val="1"/>
    </w:lvl>
    <w:lvl w:ilvl="1">
      <w:lvlJc w:val="left"/>
      <w:lvlText w:val="%2"/>
      <w:numFmt w:val="decimal"/>
      <w:start w:val="1"/>
    </w:lvl>
  </w:abstractNum>
  <w:abstractNum w:abstractNumId="23">
    <w:nsid w:val="54E49EB4"/>
    <w:multiLevelType w:val="hybridMultilevel"/>
    <w:lvl w:ilvl="0">
      <w:lvlJc w:val="left"/>
      <w:lvlText w:val="*"/>
      <w:numFmt w:val="bullet"/>
      <w:start w:val="1"/>
    </w:lvl>
  </w:abstractNum>
  <w:abstractNum w:abstractNumId="24">
    <w:nsid w:val="71F32454"/>
    <w:multiLevelType w:val="hybridMultilevel"/>
    <w:lvl w:ilvl="0">
      <w:lvlJc w:val="left"/>
      <w:lvlText w:val="%1."/>
      <w:numFmt w:val="decimal"/>
      <w:start w:val="1"/>
    </w:lvl>
    <w:lvl w:ilvl="1">
      <w:lvlJc w:val="left"/>
      <w:lvlText w:val="%2."/>
      <w:numFmt w:val="lowerLetter"/>
      <w:start w:val="1"/>
    </w:lvl>
  </w:abstractNum>
  <w:abstractNum w:abstractNumId="25">
    <w:nsid w:val="2CA88611"/>
    <w:multiLevelType w:val="hybridMultilevel"/>
    <w:lvl w:ilvl="0">
      <w:lvlJc w:val="left"/>
      <w:lvlText w:val="%1."/>
      <w:numFmt w:val="decimal"/>
      <w:start w:val="1"/>
    </w:lvl>
  </w:abstractNum>
  <w:abstractNum w:abstractNumId="26">
    <w:nsid w:val="836C40E"/>
    <w:multiLevelType w:val="hybridMultilevel"/>
    <w:lvl w:ilvl="0">
      <w:lvlJc w:val="left"/>
      <w:lvlText w:val="%1."/>
      <w:numFmt w:val="decimal"/>
      <w:start w:val="1"/>
    </w:lvl>
    <w:lvl w:ilvl="1">
      <w:lvlJc w:val="left"/>
      <w:lvlText w:val="(%2)"/>
      <w:numFmt w:val="lowerLetter"/>
      <w:start w:val="1"/>
    </w:lvl>
  </w:abstractNum>
  <w:abstractNum w:abstractNumId="27">
    <w:nsid w:val="2901D82"/>
    <w:multiLevelType w:val="hybridMultilevel"/>
    <w:lvl w:ilvl="0">
      <w:lvlJc w:val="left"/>
      <w:lvlText w:val="%1."/>
      <w:numFmt w:val="decimal"/>
      <w:start w:val="1"/>
    </w:lvl>
    <w:lvl w:ilvl="1">
      <w:lvlJc w:val="left"/>
      <w:lvlText w:val="(%2)"/>
      <w:numFmt w:val="lowerLetter"/>
      <w:start w:val="1"/>
    </w:lvl>
  </w:abstractNum>
  <w:abstractNum w:abstractNumId="28">
    <w:nsid w:val="3A95F874"/>
    <w:multiLevelType w:val="hybridMultilevel"/>
    <w:lvl w:ilvl="0">
      <w:lvlJc w:val="left"/>
      <w:lvlText w:val="%1."/>
      <w:numFmt w:val="decimal"/>
      <w:start w:val="1"/>
    </w:lvl>
  </w:abstractNum>
  <w:abstractNum w:abstractNumId="29">
    <w:nsid w:val="8138641"/>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49" Type="http://schemas.openxmlformats.org/officeDocument/2006/relationships/hyperlink" Target="http://www.sec.gov/Archives/edgar/data/0001660334/000119312518170726/d361077dex33.htm" TargetMode="External"/><Relationship Id="rId50" Type="http://schemas.openxmlformats.org/officeDocument/2006/relationships/hyperlink" Target="http://www.sec.gov/Archives/edgar/data/0001660334/000119312518170726/d361077dex34.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2021-08-10T07:07:39Z</dcterms:created>
  <dcterms:modified xsi:type="dcterms:W3CDTF">2021-08-10T07:07:39Z</dcterms:modified>
</cp:coreProperties>
</file>