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SECURITIES AND EXCHANGE COMMISSION</w:t>
      </w:r>
    </w:p>
    <w:p>
      <w:pPr>
        <w:spacing w:after="0" w:line="3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218440</wp:posOffset>
            </wp:positionV>
            <wp:extent cx="14744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SCHEDULE 13G</w:t>
      </w:r>
    </w:p>
    <w:p>
      <w:pPr>
        <w:spacing w:after="0" w:line="34" w:lineRule="exact"/>
        <w:rPr>
          <w:sz w:val="24"/>
          <w:szCs w:val="24"/>
          <w:color w:val="auto"/>
        </w:rPr>
      </w:pPr>
    </w:p>
    <w:p>
      <w:pPr>
        <w:ind w:left="4820"/>
        <w:spacing w:after="0"/>
        <w:rPr>
          <w:sz w:val="20"/>
          <w:szCs w:val="20"/>
          <w:color w:val="auto"/>
        </w:rPr>
      </w:pPr>
      <w:r>
        <w:rPr>
          <w:rFonts w:ascii="Arial" w:cs="Arial" w:eastAsia="Arial" w:hAnsi="Arial"/>
          <w:sz w:val="22"/>
          <w:szCs w:val="22"/>
          <w:b w:val="1"/>
          <w:bCs w:val="1"/>
          <w:color w:val="auto"/>
        </w:rPr>
        <w:t>(Rule 13d-102)</w:t>
      </w:r>
    </w:p>
    <w:p>
      <w:pPr>
        <w:spacing w:after="0" w:line="182" w:lineRule="exact"/>
        <w:rPr>
          <w:sz w:val="24"/>
          <w:szCs w:val="24"/>
          <w:color w:val="auto"/>
        </w:rPr>
      </w:pPr>
    </w:p>
    <w:p>
      <w:pPr>
        <w:ind w:left="200"/>
        <w:spacing w:after="0"/>
        <w:rPr>
          <w:sz w:val="20"/>
          <w:szCs w:val="20"/>
          <w:color w:val="auto"/>
        </w:rPr>
      </w:pPr>
      <w:r>
        <w:rPr>
          <w:rFonts w:ascii="Arial" w:cs="Arial" w:eastAsia="Arial" w:hAnsi="Arial"/>
          <w:sz w:val="21"/>
          <w:szCs w:val="21"/>
          <w:b w:val="1"/>
          <w:bCs w:val="1"/>
          <w:color w:val="auto"/>
        </w:rPr>
        <w:t>INFORMATION TO BE INCLUDED IN STATEMENTS FILED PURSUANT TO §240.13d-1(b), (c) AND (d) AND</w:t>
      </w:r>
    </w:p>
    <w:p>
      <w:pPr>
        <w:spacing w:after="0" w:line="26" w:lineRule="exact"/>
        <w:rPr>
          <w:sz w:val="24"/>
          <w:szCs w:val="24"/>
          <w:color w:val="auto"/>
        </w:rPr>
      </w:pPr>
    </w:p>
    <w:p>
      <w:pPr>
        <w:jc w:val="center"/>
        <w:ind w:left="520" w:right="2400"/>
        <w:spacing w:after="0" w:line="234" w:lineRule="auto"/>
        <w:rPr>
          <w:sz w:val="20"/>
          <w:szCs w:val="20"/>
          <w:color w:val="auto"/>
        </w:rPr>
      </w:pPr>
      <w:r>
        <w:rPr>
          <w:rFonts w:ascii="Arial" w:cs="Arial" w:eastAsia="Arial" w:hAnsi="Arial"/>
          <w:sz w:val="22"/>
          <w:szCs w:val="22"/>
          <w:b w:val="1"/>
          <w:bCs w:val="1"/>
          <w:color w:val="auto"/>
        </w:rPr>
        <w:t>AMENDMENTS THERETO FILED PURSUANT TO §240.13d-2 UNDER THE SECURITIES EXCHANGE ACT OF 1934 (Amendment No. 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226695</wp:posOffset>
            </wp:positionV>
            <wp:extent cx="14744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23" w:lineRule="exact"/>
        <w:rPr>
          <w:sz w:val="24"/>
          <w:szCs w:val="24"/>
          <w:color w:val="auto"/>
        </w:rPr>
      </w:pPr>
    </w:p>
    <w:p>
      <w:pPr>
        <w:jc w:val="center"/>
        <w:ind w:right="-59"/>
        <w:spacing w:after="0"/>
        <w:rPr>
          <w:sz w:val="20"/>
          <w:szCs w:val="20"/>
          <w:color w:val="auto"/>
        </w:rPr>
      </w:pPr>
      <w:r>
        <w:rPr>
          <w:rFonts w:ascii="Arial" w:cs="Arial" w:eastAsia="Arial" w:hAnsi="Arial"/>
          <w:sz w:val="43"/>
          <w:szCs w:val="43"/>
          <w:b w:val="1"/>
          <w:bCs w:val="1"/>
          <w:color w:val="auto"/>
        </w:rPr>
        <w:t>Verrica Pharmaceuticals Inc.</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(Name of Issuer)</w:t>
      </w:r>
    </w:p>
    <w:p>
      <w:pPr>
        <w:spacing w:after="0" w:line="205"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Common Stock, $0.0001 par value per share</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(Title of Class of Securities)</w:t>
      </w:r>
    </w:p>
    <w:p>
      <w:pPr>
        <w:spacing w:after="0" w:line="192"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9251 1W 108</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(CUSIP Number)</w:t>
      </w:r>
    </w:p>
    <w:p>
      <w:pPr>
        <w:spacing w:after="0" w:line="192"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December 31, 2021</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219075</wp:posOffset>
            </wp:positionV>
            <wp:extent cx="14744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40"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25" w:lineRule="exact"/>
        <w:rPr>
          <w:sz w:val="24"/>
          <w:szCs w:val="24"/>
          <w:color w:val="auto"/>
        </w:rPr>
      </w:pPr>
    </w:p>
    <w:p>
      <w:pPr>
        <w:ind w:left="1200" w:hanging="213"/>
        <w:spacing w:after="0"/>
        <w:tabs>
          <w:tab w:leader="none" w:pos="12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225" w:lineRule="exact"/>
        <w:rPr>
          <w:rFonts w:ascii="MS PGothic" w:cs="MS PGothic" w:eastAsia="MS PGothic" w:hAnsi="MS PGothic"/>
          <w:sz w:val="18"/>
          <w:szCs w:val="18"/>
          <w:color w:val="auto"/>
        </w:rPr>
      </w:pPr>
    </w:p>
    <w:p>
      <w:pPr>
        <w:ind w:left="1200" w:hanging="213"/>
        <w:spacing w:after="0"/>
        <w:tabs>
          <w:tab w:leader="none" w:pos="12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13d-1(c)</w:t>
      </w:r>
    </w:p>
    <w:p>
      <w:pPr>
        <w:spacing w:after="0" w:line="225" w:lineRule="exact"/>
        <w:rPr>
          <w:sz w:val="24"/>
          <w:szCs w:val="24"/>
          <w:color w:val="auto"/>
        </w:rPr>
      </w:pPr>
    </w:p>
    <w:p>
      <w:pPr>
        <w:ind w:left="1200" w:hanging="213"/>
        <w:spacing w:after="0"/>
        <w:tabs>
          <w:tab w:leader="none" w:pos="1200" w:val="left"/>
        </w:tabs>
        <w:numPr>
          <w:ilvl w:val="1"/>
          <w:numId w:val="2"/>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252" w:lineRule="exact"/>
        <w:rPr>
          <w:rFonts w:ascii="MS PGothic" w:cs="MS PGothic" w:eastAsia="MS PGothic" w:hAnsi="MS PGothic"/>
          <w:sz w:val="18"/>
          <w:szCs w:val="18"/>
          <w:color w:val="auto"/>
        </w:rPr>
      </w:pPr>
    </w:p>
    <w:p>
      <w:pPr>
        <w:ind w:left="420" w:hanging="432"/>
        <w:spacing w:after="0" w:line="308" w:lineRule="auto"/>
        <w:rPr>
          <w:rFonts w:ascii="MS PGothic" w:cs="MS PGothic" w:eastAsia="MS PGothic" w:hAnsi="MS PGothic"/>
          <w:sz w:val="18"/>
          <w:szCs w:val="18"/>
          <w:color w:val="auto"/>
        </w:rPr>
      </w:pPr>
      <w:r>
        <w:rPr>
          <w:rFonts w:ascii="Arial" w:cs="Arial" w:eastAsia="Arial" w:hAnsi="Arial"/>
          <w:sz w:val="18"/>
          <w:szCs w:val="18"/>
          <w:color w:val="auto"/>
        </w:rPr>
        <w:t>*</w:t>
      </w: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46" w:lineRule="exact"/>
        <w:rPr>
          <w:sz w:val="24"/>
          <w:szCs w:val="24"/>
          <w:color w:val="auto"/>
        </w:rPr>
      </w:pPr>
    </w:p>
    <w:p>
      <w:pPr>
        <w:ind w:right="60"/>
        <w:spacing w:after="0" w:line="263" w:lineRule="auto"/>
        <w:rPr>
          <w:sz w:val="20"/>
          <w:szCs w:val="20"/>
          <w:color w:val="auto"/>
        </w:rPr>
      </w:pPr>
      <w:r>
        <w:rPr>
          <w:rFonts w:ascii="Arial" w:cs="Arial" w:eastAsia="Arial" w:hAnsi="Arial"/>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151130</wp:posOffset>
            </wp:positionV>
            <wp:extent cx="69951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194310</wp:posOffset>
            </wp:positionV>
            <wp:extent cx="699516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940"/>
          </w:cols>
          <w:pgMar w:left="440" w:top="517" w:right="519" w:bottom="1440" w:gutter="0" w:footer="0" w:header="0"/>
        </w:sectPr>
      </w:pPr>
    </w:p>
    <w:bookmarkStart w:id="1" w:name="page2"/>
    <w:bookmarkEnd w:id="1"/>
    <w:p>
      <w:pPr>
        <w:spacing w:after="0"/>
        <w:tabs>
          <w:tab w:leader="none" w:pos="5380" w:val="left"/>
          <w:tab w:leader="none" w:pos="97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CUSIP No. 9251 1W 108</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2 of 5 Pages</w:t>
      </w:r>
    </w:p>
    <w:p>
      <w:pPr>
        <w:spacing w:after="0" w:line="266" w:lineRule="exact"/>
        <w:rPr>
          <w:sz w:val="20"/>
          <w:szCs w:val="20"/>
          <w:color w:val="auto"/>
        </w:rPr>
      </w:pPr>
    </w:p>
    <w:p>
      <w:pPr>
        <w:ind w:left="600" w:hanging="357"/>
        <w:spacing w:after="0"/>
        <w:tabs>
          <w:tab w:leader="none" w:pos="600" w:val="left"/>
        </w:tabs>
        <w:numPr>
          <w:ilvl w:val="0"/>
          <w:numId w:val="3"/>
        </w:numPr>
        <w:rPr>
          <w:rFonts w:ascii="Arial" w:cs="Arial" w:eastAsia="Arial" w:hAnsi="Arial"/>
          <w:sz w:val="18"/>
          <w:szCs w:val="18"/>
          <w:color w:val="auto"/>
        </w:rPr>
      </w:pPr>
      <w:r>
        <w:rPr>
          <w:rFonts w:ascii="Arial" w:cs="Arial" w:eastAsia="Arial" w:hAnsi="Arial"/>
          <w:sz w:val="18"/>
          <w:szCs w:val="18"/>
          <w:color w:val="auto"/>
        </w:rPr>
        <w:t>NAME OF REPORTING PERSONS</w:t>
      </w:r>
    </w:p>
    <w:p>
      <w:pPr>
        <w:spacing w:after="0" w:line="252" w:lineRule="exact"/>
        <w:rPr>
          <w:rFonts w:ascii="Arial" w:cs="Arial" w:eastAsia="Arial" w:hAnsi="Arial"/>
          <w:sz w:val="18"/>
          <w:szCs w:val="18"/>
          <w:color w:val="auto"/>
        </w:rPr>
      </w:pPr>
    </w:p>
    <w:p>
      <w:pPr>
        <w:ind w:left="600"/>
        <w:spacing w:after="0"/>
        <w:rPr>
          <w:rFonts w:ascii="Arial" w:cs="Arial" w:eastAsia="Arial" w:hAnsi="Arial"/>
          <w:sz w:val="18"/>
          <w:szCs w:val="18"/>
          <w:color w:val="auto"/>
        </w:rPr>
      </w:pPr>
      <w:r>
        <w:rPr>
          <w:rFonts w:ascii="Arial" w:cs="Arial" w:eastAsia="Arial" w:hAnsi="Arial"/>
          <w:sz w:val="18"/>
          <w:szCs w:val="18"/>
          <w:color w:val="auto"/>
        </w:rPr>
        <w:t>I.R.S. IDENTIFICATION NO. OF ABOVE PERSONS (ENTITIES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-421640</wp:posOffset>
            </wp:positionV>
            <wp:extent cx="6858000" cy="55118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58000" cy="5511800"/>
                    </a:xfrm>
                    <a:prstGeom prst="rect">
                      <a:avLst/>
                    </a:prstGeom>
                    <a:noFill/>
                  </pic:spPr>
                </pic:pic>
              </a:graphicData>
            </a:graphic>
          </wp:anchor>
        </w:drawing>
      </w:r>
    </w:p>
    <w:p>
      <w:pPr>
        <w:spacing w:after="0" w:line="232" w:lineRule="exact"/>
        <w:rPr>
          <w:sz w:val="20"/>
          <w:szCs w:val="20"/>
          <w:color w:val="auto"/>
        </w:rPr>
      </w:pPr>
    </w:p>
    <w:p>
      <w:pPr>
        <w:ind w:left="600"/>
        <w:spacing w:after="0"/>
        <w:rPr>
          <w:sz w:val="20"/>
          <w:szCs w:val="20"/>
          <w:color w:val="auto"/>
        </w:rPr>
      </w:pPr>
      <w:r>
        <w:rPr>
          <w:rFonts w:ascii="Arial" w:cs="Arial" w:eastAsia="Arial" w:hAnsi="Arial"/>
          <w:sz w:val="18"/>
          <w:szCs w:val="18"/>
          <w:color w:val="auto"/>
        </w:rPr>
        <w:t>Matt Davidson</w:t>
      </w:r>
    </w:p>
    <w:p>
      <w:pPr>
        <w:spacing w:after="0" w:line="36" w:lineRule="exact"/>
        <w:rPr>
          <w:sz w:val="20"/>
          <w:szCs w:val="20"/>
          <w:color w:val="auto"/>
        </w:rPr>
      </w:pPr>
    </w:p>
    <w:p>
      <w:pPr>
        <w:ind w:left="600" w:hanging="357"/>
        <w:spacing w:after="0"/>
        <w:tabs>
          <w:tab w:leader="none" w:pos="60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18" w:lineRule="exact"/>
        <w:rPr>
          <w:sz w:val="20"/>
          <w:szCs w:val="20"/>
          <w:color w:val="auto"/>
        </w:rPr>
      </w:pPr>
    </w:p>
    <w:p>
      <w:pPr>
        <w:ind w:left="600"/>
        <w:spacing w:after="0" w:line="207" w:lineRule="exact"/>
        <w:tabs>
          <w:tab w:leader="none" w:pos="1400" w:val="left"/>
        </w:tabs>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270" w:lineRule="exact"/>
        <w:rPr>
          <w:sz w:val="20"/>
          <w:szCs w:val="20"/>
          <w:color w:val="auto"/>
        </w:rPr>
      </w:pPr>
    </w:p>
    <w:p>
      <w:pPr>
        <w:ind w:left="600" w:hanging="357"/>
        <w:spacing w:after="0"/>
        <w:tabs>
          <w:tab w:leader="none" w:pos="600" w:val="left"/>
        </w:tabs>
        <w:numPr>
          <w:ilvl w:val="0"/>
          <w:numId w:val="5"/>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79" w:lineRule="exact"/>
        <w:rPr>
          <w:sz w:val="20"/>
          <w:szCs w:val="20"/>
          <w:color w:val="auto"/>
        </w:rPr>
      </w:pPr>
    </w:p>
    <w:p>
      <w:pPr>
        <w:ind w:left="600" w:hanging="357"/>
        <w:spacing w:after="0"/>
        <w:tabs>
          <w:tab w:leader="none" w:pos="600" w:val="left"/>
        </w:tabs>
        <w:numPr>
          <w:ilvl w:val="0"/>
          <w:numId w:val="6"/>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52" w:lineRule="exact"/>
        <w:rPr>
          <w:rFonts w:ascii="Arial" w:cs="Arial" w:eastAsia="Arial" w:hAnsi="Arial"/>
          <w:sz w:val="18"/>
          <w:szCs w:val="18"/>
          <w:color w:val="auto"/>
        </w:rPr>
      </w:pPr>
    </w:p>
    <w:p>
      <w:pPr>
        <w:ind w:left="600"/>
        <w:spacing w:after="0"/>
        <w:rPr>
          <w:rFonts w:ascii="Arial" w:cs="Arial" w:eastAsia="Arial" w:hAnsi="Arial"/>
          <w:sz w:val="18"/>
          <w:szCs w:val="18"/>
          <w:color w:val="auto"/>
        </w:rPr>
      </w:pPr>
      <w:r>
        <w:rPr>
          <w:rFonts w:ascii="Arial" w:cs="Arial" w:eastAsia="Arial" w:hAnsi="Arial"/>
          <w:sz w:val="18"/>
          <w:szCs w:val="18"/>
          <w:color w:val="auto"/>
        </w:rPr>
        <w:t>United States</w:t>
      </w:r>
    </w:p>
    <w:p>
      <w:pPr>
        <w:spacing w:after="0" w:line="36" w:lineRule="exact"/>
        <w:rPr>
          <w:rFonts w:ascii="Arial" w:cs="Arial" w:eastAsia="Arial" w:hAnsi="Arial"/>
          <w:sz w:val="18"/>
          <w:szCs w:val="18"/>
          <w:color w:val="auto"/>
        </w:rPr>
      </w:pPr>
    </w:p>
    <w:p>
      <w:pPr>
        <w:ind w:left="1620"/>
        <w:spacing w:after="0"/>
        <w:rPr>
          <w:rFonts w:ascii="Arial" w:cs="Arial" w:eastAsia="Arial" w:hAnsi="Arial"/>
          <w:sz w:val="18"/>
          <w:szCs w:val="18"/>
          <w:color w:val="auto"/>
        </w:rPr>
      </w:pPr>
      <w:r>
        <w:rPr>
          <w:rFonts w:ascii="Arial" w:cs="Arial" w:eastAsia="Arial" w:hAnsi="Arial"/>
          <w:sz w:val="18"/>
          <w:szCs w:val="18"/>
          <w:color w:val="auto"/>
        </w:rPr>
        <w:t>5    SOLE VOTING POWER</w:t>
      </w:r>
    </w:p>
    <w:p>
      <w:pPr>
        <w:spacing w:after="0" w:line="252" w:lineRule="exact"/>
        <w:rPr>
          <w:sz w:val="20"/>
          <w:szCs w:val="20"/>
          <w:color w:val="auto"/>
        </w:rPr>
      </w:pPr>
    </w:p>
    <w:tbl>
      <w:tblPr>
        <w:tblLayout w:type="fixed"/>
        <w:tblInd w:w="200" w:type="dxa"/>
        <w:tblCellMar>
          <w:top w:w="0" w:type="dxa"/>
          <w:left w:w="0" w:type="dxa"/>
          <w:bottom w:w="0" w:type="dxa"/>
          <w:right w:w="0" w:type="dxa"/>
        </w:tblCellMar>
      </w:tblPr>
      <w:tr>
        <w:trPr>
          <w:trHeight w:val="244"/>
        </w:trPr>
        <w:tc>
          <w:tcPr>
            <w:tcW w:w="1300" w:type="dxa"/>
            <w:vAlign w:val="bottom"/>
          </w:tcPr>
          <w:p>
            <w:pPr>
              <w:jc w:val="center"/>
              <w:spacing w:after="0"/>
              <w:rPr>
                <w:sz w:val="20"/>
                <w:szCs w:val="20"/>
                <w:color w:val="auto"/>
              </w:rPr>
            </w:pPr>
            <w:r>
              <w:rPr>
                <w:rFonts w:ascii="Arial" w:cs="Arial" w:eastAsia="Arial" w:hAnsi="Arial"/>
                <w:sz w:val="18"/>
                <w:szCs w:val="18"/>
                <w:color w:val="auto"/>
                <w:w w:val="98"/>
              </w:rPr>
              <w:t>NUMBER OF</w:t>
            </w:r>
          </w:p>
        </w:tc>
        <w:tc>
          <w:tcPr>
            <w:tcW w:w="360" w:type="dxa"/>
            <w:vAlign w:val="bottom"/>
            <w:tcBorders>
              <w:bottom w:val="single" w:sz="8" w:color="auto"/>
            </w:tcBorders>
          </w:tcPr>
          <w:p>
            <w:pPr>
              <w:spacing w:after="0"/>
              <w:rPr>
                <w:sz w:val="21"/>
                <w:szCs w:val="21"/>
                <w:color w:val="auto"/>
              </w:rPr>
            </w:pPr>
          </w:p>
        </w:tc>
        <w:tc>
          <w:tcPr>
            <w:tcW w:w="8940" w:type="dxa"/>
            <w:vAlign w:val="bottom"/>
            <w:tcBorders>
              <w:bottom w:val="single" w:sz="8" w:color="auto"/>
            </w:tcBorders>
          </w:tcPr>
          <w:p>
            <w:pPr>
              <w:ind w:left="140"/>
              <w:spacing w:after="0"/>
              <w:rPr>
                <w:sz w:val="20"/>
                <w:szCs w:val="20"/>
                <w:color w:val="auto"/>
              </w:rPr>
            </w:pPr>
            <w:r>
              <w:rPr>
                <w:rFonts w:ascii="Arial" w:cs="Arial" w:eastAsia="Arial" w:hAnsi="Arial"/>
                <w:sz w:val="18"/>
                <w:szCs w:val="18"/>
                <w:color w:val="auto"/>
              </w:rPr>
              <w:t>560,731</w:t>
            </w:r>
          </w:p>
        </w:tc>
        <w:tc>
          <w:tcPr>
            <w:tcW w:w="0" w:type="dxa"/>
            <w:vAlign w:val="bottom"/>
          </w:tcPr>
          <w:p>
            <w:pPr>
              <w:spacing w:after="0"/>
              <w:rPr>
                <w:sz w:val="1"/>
                <w:szCs w:val="1"/>
                <w:color w:val="auto"/>
              </w:rPr>
            </w:pPr>
          </w:p>
        </w:tc>
      </w:tr>
      <w:tr>
        <w:trPr>
          <w:trHeight w:val="236"/>
        </w:trPr>
        <w:tc>
          <w:tcPr>
            <w:tcW w:w="1300" w:type="dxa"/>
            <w:vAlign w:val="bottom"/>
          </w:tcPr>
          <w:p>
            <w:pPr>
              <w:jc w:val="center"/>
              <w:spacing w:after="0"/>
              <w:rPr>
                <w:sz w:val="20"/>
                <w:szCs w:val="20"/>
                <w:color w:val="auto"/>
              </w:rPr>
            </w:pPr>
            <w:r>
              <w:rPr>
                <w:rFonts w:ascii="Arial" w:cs="Arial" w:eastAsia="Arial" w:hAnsi="Arial"/>
                <w:sz w:val="18"/>
                <w:szCs w:val="18"/>
                <w:color w:val="auto"/>
                <w:w w:val="94"/>
              </w:rPr>
              <w:t>SHARES</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6</w:t>
            </w:r>
          </w:p>
        </w:tc>
        <w:tc>
          <w:tcPr>
            <w:tcW w:w="8940" w:type="dxa"/>
            <w:vAlign w:val="bottom"/>
          </w:tcPr>
          <w:p>
            <w:pPr>
              <w:ind w:left="1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300" w:type="dxa"/>
            <w:vAlign w:val="bottom"/>
          </w:tcPr>
          <w:p>
            <w:pPr>
              <w:jc w:val="center"/>
              <w:spacing w:after="0"/>
              <w:rPr>
                <w:sz w:val="20"/>
                <w:szCs w:val="20"/>
                <w:color w:val="auto"/>
              </w:rPr>
            </w:pPr>
            <w:r>
              <w:rPr>
                <w:rFonts w:ascii="Arial" w:cs="Arial" w:eastAsia="Arial" w:hAnsi="Arial"/>
                <w:sz w:val="18"/>
                <w:szCs w:val="18"/>
                <w:color w:val="auto"/>
                <w:w w:val="99"/>
              </w:rPr>
              <w:t>BENEFICIALLY</w:t>
            </w:r>
          </w:p>
        </w:tc>
        <w:tc>
          <w:tcPr>
            <w:tcW w:w="360" w:type="dxa"/>
            <w:vAlign w:val="bottom"/>
          </w:tcPr>
          <w:p>
            <w:pPr>
              <w:spacing w:after="0"/>
              <w:rPr>
                <w:sz w:val="18"/>
                <w:szCs w:val="18"/>
                <w:color w:val="auto"/>
              </w:rPr>
            </w:pPr>
          </w:p>
        </w:tc>
        <w:tc>
          <w:tcPr>
            <w:tcW w:w="8940" w:type="dxa"/>
            <w:vAlign w:val="bottom"/>
            <w:vMerge w:val="restart"/>
          </w:tcPr>
          <w:p>
            <w:pPr>
              <w:ind w:left="1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1300" w:type="dxa"/>
            <w:vAlign w:val="bottom"/>
          </w:tcPr>
          <w:p>
            <w:pPr>
              <w:jc w:val="center"/>
              <w:spacing w:after="0"/>
              <w:rPr>
                <w:sz w:val="20"/>
                <w:szCs w:val="20"/>
                <w:color w:val="auto"/>
              </w:rPr>
            </w:pPr>
            <w:r>
              <w:rPr>
                <w:rFonts w:ascii="Arial" w:cs="Arial" w:eastAsia="Arial" w:hAnsi="Arial"/>
                <w:sz w:val="18"/>
                <w:szCs w:val="18"/>
                <w:color w:val="auto"/>
                <w:w w:val="99"/>
              </w:rPr>
              <w:t>OWNED BY</w:t>
            </w:r>
          </w:p>
        </w:tc>
        <w:tc>
          <w:tcPr>
            <w:tcW w:w="360" w:type="dxa"/>
            <w:vAlign w:val="bottom"/>
            <w:tcBorders>
              <w:bottom w:val="single" w:sz="8" w:color="auto"/>
            </w:tcBorders>
          </w:tcPr>
          <w:p>
            <w:pPr>
              <w:spacing w:after="0"/>
              <w:rPr>
                <w:sz w:val="20"/>
                <w:szCs w:val="20"/>
                <w:color w:val="auto"/>
              </w:rPr>
            </w:pPr>
          </w:p>
        </w:tc>
        <w:tc>
          <w:tcPr>
            <w:tcW w:w="894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1300" w:type="dxa"/>
            <w:vAlign w:val="bottom"/>
          </w:tcPr>
          <w:p>
            <w:pPr>
              <w:jc w:val="center"/>
              <w:spacing w:after="0" w:line="182" w:lineRule="exact"/>
              <w:rPr>
                <w:sz w:val="20"/>
                <w:szCs w:val="20"/>
                <w:color w:val="auto"/>
              </w:rPr>
            </w:pPr>
            <w:r>
              <w:rPr>
                <w:rFonts w:ascii="Arial" w:cs="Arial" w:eastAsia="Arial" w:hAnsi="Arial"/>
                <w:sz w:val="18"/>
                <w:szCs w:val="18"/>
                <w:color w:val="auto"/>
                <w:w w:val="99"/>
              </w:rPr>
              <w:t>EACH</w:t>
            </w:r>
          </w:p>
        </w:tc>
        <w:tc>
          <w:tcPr>
            <w:tcW w:w="360" w:type="dxa"/>
            <w:vAlign w:val="bottom"/>
          </w:tcPr>
          <w:p>
            <w:pPr>
              <w:jc w:val="right"/>
              <w:ind w:right="70"/>
              <w:spacing w:after="0" w:line="182" w:lineRule="exact"/>
              <w:rPr>
                <w:sz w:val="20"/>
                <w:szCs w:val="20"/>
                <w:color w:val="auto"/>
              </w:rPr>
            </w:pPr>
            <w:r>
              <w:rPr>
                <w:rFonts w:ascii="Arial" w:cs="Arial" w:eastAsia="Arial" w:hAnsi="Arial"/>
                <w:sz w:val="18"/>
                <w:szCs w:val="18"/>
                <w:color w:val="auto"/>
              </w:rPr>
              <w:t>7</w:t>
            </w:r>
          </w:p>
        </w:tc>
        <w:tc>
          <w:tcPr>
            <w:tcW w:w="8940" w:type="dxa"/>
            <w:vAlign w:val="bottom"/>
          </w:tcPr>
          <w:p>
            <w:pPr>
              <w:ind w:left="14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00" w:type="dxa"/>
            <w:vAlign w:val="bottom"/>
          </w:tcPr>
          <w:p>
            <w:pPr>
              <w:jc w:val="center"/>
              <w:spacing w:after="0"/>
              <w:rPr>
                <w:sz w:val="20"/>
                <w:szCs w:val="20"/>
                <w:color w:val="auto"/>
              </w:rPr>
            </w:pPr>
            <w:r>
              <w:rPr>
                <w:rFonts w:ascii="Arial" w:cs="Arial" w:eastAsia="Arial" w:hAnsi="Arial"/>
                <w:sz w:val="18"/>
                <w:szCs w:val="18"/>
                <w:color w:val="auto"/>
                <w:w w:val="93"/>
              </w:rPr>
              <w:t>REPORTING</w:t>
            </w:r>
          </w:p>
        </w:tc>
        <w:tc>
          <w:tcPr>
            <w:tcW w:w="360" w:type="dxa"/>
            <w:vAlign w:val="bottom"/>
          </w:tcPr>
          <w:p>
            <w:pPr>
              <w:spacing w:after="0"/>
              <w:rPr>
                <w:sz w:val="18"/>
                <w:szCs w:val="18"/>
                <w:color w:val="auto"/>
              </w:rPr>
            </w:pPr>
          </w:p>
        </w:tc>
        <w:tc>
          <w:tcPr>
            <w:tcW w:w="8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1300" w:type="dxa"/>
            <w:vAlign w:val="bottom"/>
          </w:tcPr>
          <w:p>
            <w:pPr>
              <w:jc w:val="center"/>
              <w:spacing w:after="0"/>
              <w:rPr>
                <w:sz w:val="20"/>
                <w:szCs w:val="20"/>
                <w:color w:val="auto"/>
              </w:rPr>
            </w:pPr>
            <w:r>
              <w:rPr>
                <w:rFonts w:ascii="Arial" w:cs="Arial" w:eastAsia="Arial" w:hAnsi="Arial"/>
                <w:sz w:val="18"/>
                <w:szCs w:val="18"/>
                <w:color w:val="auto"/>
                <w:w w:val="92"/>
              </w:rPr>
              <w:t>PERSON</w:t>
            </w:r>
          </w:p>
        </w:tc>
        <w:tc>
          <w:tcPr>
            <w:tcW w:w="360" w:type="dxa"/>
            <w:vAlign w:val="bottom"/>
          </w:tcPr>
          <w:p>
            <w:pPr>
              <w:spacing w:after="0"/>
              <w:rPr>
                <w:sz w:val="18"/>
                <w:szCs w:val="18"/>
                <w:color w:val="auto"/>
              </w:rPr>
            </w:pPr>
          </w:p>
        </w:tc>
        <w:tc>
          <w:tcPr>
            <w:tcW w:w="8940" w:type="dxa"/>
            <w:vAlign w:val="bottom"/>
          </w:tcPr>
          <w:p>
            <w:pPr>
              <w:ind w:left="140"/>
              <w:spacing w:after="0"/>
              <w:rPr>
                <w:sz w:val="20"/>
                <w:szCs w:val="20"/>
                <w:color w:val="auto"/>
              </w:rPr>
            </w:pPr>
            <w:r>
              <w:rPr>
                <w:rFonts w:ascii="Arial" w:cs="Arial" w:eastAsia="Arial" w:hAnsi="Arial"/>
                <w:sz w:val="18"/>
                <w:szCs w:val="18"/>
                <w:color w:val="auto"/>
              </w:rPr>
              <w:t>560,731</w:t>
            </w:r>
          </w:p>
        </w:tc>
        <w:tc>
          <w:tcPr>
            <w:tcW w:w="0" w:type="dxa"/>
            <w:vAlign w:val="bottom"/>
          </w:tcPr>
          <w:p>
            <w:pPr>
              <w:spacing w:after="0"/>
              <w:rPr>
                <w:sz w:val="1"/>
                <w:szCs w:val="1"/>
                <w:color w:val="auto"/>
              </w:rPr>
            </w:pPr>
          </w:p>
        </w:tc>
      </w:tr>
      <w:tr>
        <w:trPr>
          <w:trHeight w:val="68"/>
        </w:trPr>
        <w:tc>
          <w:tcPr>
            <w:tcW w:w="1300" w:type="dxa"/>
            <w:vAlign w:val="bottom"/>
            <w:vMerge w:val="restart"/>
          </w:tcPr>
          <w:p>
            <w:pPr>
              <w:jc w:val="center"/>
              <w:spacing w:after="0"/>
              <w:rPr>
                <w:sz w:val="20"/>
                <w:szCs w:val="20"/>
                <w:color w:val="auto"/>
              </w:rPr>
            </w:pPr>
            <w:r>
              <w:rPr>
                <w:rFonts w:ascii="Arial" w:cs="Arial" w:eastAsia="Arial" w:hAnsi="Arial"/>
                <w:sz w:val="18"/>
                <w:szCs w:val="18"/>
                <w:color w:val="auto"/>
                <w:w w:val="99"/>
              </w:rPr>
              <w:t>WITH</w:t>
            </w:r>
          </w:p>
        </w:tc>
        <w:tc>
          <w:tcPr>
            <w:tcW w:w="360" w:type="dxa"/>
            <w:vAlign w:val="bottom"/>
            <w:tcBorders>
              <w:bottom w:val="single" w:sz="8" w:color="auto"/>
            </w:tcBorders>
          </w:tcPr>
          <w:p>
            <w:pPr>
              <w:spacing w:after="0"/>
              <w:rPr>
                <w:sz w:val="5"/>
                <w:szCs w:val="5"/>
                <w:color w:val="auto"/>
              </w:rPr>
            </w:pPr>
          </w:p>
        </w:tc>
        <w:tc>
          <w:tcPr>
            <w:tcW w:w="89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1300" w:type="dxa"/>
            <w:vAlign w:val="bottom"/>
            <w:vMerge w:val="continue"/>
          </w:tcPr>
          <w:p>
            <w:pPr>
              <w:spacing w:after="0"/>
              <w:rPr>
                <w:sz w:val="12"/>
                <w:szCs w:val="12"/>
                <w:color w:val="auto"/>
              </w:rPr>
            </w:pPr>
          </w:p>
        </w:tc>
        <w:tc>
          <w:tcPr>
            <w:tcW w:w="360" w:type="dxa"/>
            <w:vAlign w:val="bottom"/>
            <w:vMerge w:val="restart"/>
          </w:tcPr>
          <w:p>
            <w:pPr>
              <w:jc w:val="right"/>
              <w:ind w:right="70"/>
              <w:spacing w:after="0"/>
              <w:rPr>
                <w:sz w:val="20"/>
                <w:szCs w:val="20"/>
                <w:color w:val="auto"/>
              </w:rPr>
            </w:pPr>
            <w:r>
              <w:rPr>
                <w:rFonts w:ascii="Arial" w:cs="Arial" w:eastAsia="Arial" w:hAnsi="Arial"/>
                <w:sz w:val="18"/>
                <w:szCs w:val="18"/>
                <w:color w:val="auto"/>
              </w:rPr>
              <w:t>8</w:t>
            </w:r>
          </w:p>
        </w:tc>
        <w:tc>
          <w:tcPr>
            <w:tcW w:w="8940" w:type="dxa"/>
            <w:vAlign w:val="bottom"/>
            <w:vMerge w:val="restart"/>
          </w:tcPr>
          <w:p>
            <w:pPr>
              <w:ind w:left="1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1300" w:type="dxa"/>
            <w:vAlign w:val="bottom"/>
          </w:tcPr>
          <w:p>
            <w:pPr>
              <w:spacing w:after="0"/>
              <w:rPr>
                <w:sz w:val="7"/>
                <w:szCs w:val="7"/>
                <w:color w:val="auto"/>
              </w:rPr>
            </w:pPr>
          </w:p>
        </w:tc>
        <w:tc>
          <w:tcPr>
            <w:tcW w:w="360" w:type="dxa"/>
            <w:vAlign w:val="bottom"/>
            <w:vMerge w:val="continue"/>
          </w:tcPr>
          <w:p>
            <w:pPr>
              <w:spacing w:after="0"/>
              <w:rPr>
                <w:sz w:val="7"/>
                <w:szCs w:val="7"/>
                <w:color w:val="auto"/>
              </w:rPr>
            </w:pPr>
          </w:p>
        </w:tc>
        <w:tc>
          <w:tcPr>
            <w:tcW w:w="89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bl>
    <w:p>
      <w:pPr>
        <w:spacing w:after="0" w:line="214" w:lineRule="exact"/>
        <w:rPr>
          <w:sz w:val="20"/>
          <w:szCs w:val="20"/>
          <w:color w:val="auto"/>
        </w:rPr>
      </w:pPr>
    </w:p>
    <w:p>
      <w:pPr>
        <w:ind w:left="2000"/>
        <w:spacing w:after="0"/>
        <w:rPr>
          <w:sz w:val="20"/>
          <w:szCs w:val="20"/>
          <w:color w:val="auto"/>
        </w:rPr>
      </w:pPr>
      <w:r>
        <w:rPr>
          <w:rFonts w:ascii="Arial" w:cs="Arial" w:eastAsia="Arial" w:hAnsi="Arial"/>
          <w:sz w:val="18"/>
          <w:szCs w:val="18"/>
          <w:color w:val="auto"/>
        </w:rPr>
        <w:t>0</w:t>
      </w:r>
    </w:p>
    <w:p>
      <w:pPr>
        <w:spacing w:after="0" w:line="36" w:lineRule="exact"/>
        <w:rPr>
          <w:sz w:val="20"/>
          <w:szCs w:val="20"/>
          <w:color w:val="auto"/>
        </w:rPr>
      </w:pPr>
    </w:p>
    <w:p>
      <w:pPr>
        <w:ind w:left="580" w:hanging="337"/>
        <w:spacing w:after="0"/>
        <w:tabs>
          <w:tab w:leader="none" w:pos="580" w:val="left"/>
        </w:tabs>
        <w:numPr>
          <w:ilvl w:val="0"/>
          <w:numId w:val="7"/>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w:t>
      </w:r>
    </w:p>
    <w:p>
      <w:pPr>
        <w:spacing w:after="0" w:line="252" w:lineRule="exact"/>
        <w:rPr>
          <w:sz w:val="20"/>
          <w:szCs w:val="20"/>
          <w:color w:val="auto"/>
        </w:rPr>
      </w:pPr>
    </w:p>
    <w:p>
      <w:pPr>
        <w:ind w:left="600"/>
        <w:spacing w:after="0"/>
        <w:rPr>
          <w:sz w:val="20"/>
          <w:szCs w:val="20"/>
          <w:color w:val="auto"/>
        </w:rPr>
      </w:pPr>
      <w:r>
        <w:rPr>
          <w:rFonts w:ascii="Arial" w:cs="Arial" w:eastAsia="Arial" w:hAnsi="Arial"/>
          <w:sz w:val="18"/>
          <w:szCs w:val="18"/>
          <w:color w:val="auto"/>
        </w:rPr>
        <w:t>560,731</w:t>
      </w:r>
    </w:p>
    <w:p>
      <w:pPr>
        <w:spacing w:after="0" w:line="36" w:lineRule="exact"/>
        <w:rPr>
          <w:sz w:val="20"/>
          <w:szCs w:val="20"/>
          <w:color w:val="auto"/>
        </w:rPr>
      </w:pPr>
    </w:p>
    <w:p>
      <w:pPr>
        <w:ind w:left="600" w:hanging="447"/>
        <w:spacing w:after="0"/>
        <w:tabs>
          <w:tab w:leader="none" w:pos="600" w:val="left"/>
        </w:tabs>
        <w:numPr>
          <w:ilvl w:val="1"/>
          <w:numId w:val="8"/>
        </w:numPr>
        <w:rPr>
          <w:rFonts w:ascii="Arial" w:cs="Arial" w:eastAsia="Arial" w:hAnsi="Arial"/>
          <w:sz w:val="18"/>
          <w:szCs w:val="18"/>
          <w:color w:val="auto"/>
        </w:rPr>
      </w:pPr>
      <w:r>
        <w:rPr>
          <w:rFonts w:ascii="Arial" w:cs="Arial" w:eastAsia="Arial" w:hAnsi="Arial"/>
          <w:sz w:val="18"/>
          <w:szCs w:val="18"/>
          <w:color w:val="auto"/>
        </w:rPr>
        <w:t>CHECK BOX IF THE AGGREGATE AMOUNT IN ROW (9) EXCLUDES CERTAIN SHARES*</w:t>
      </w:r>
    </w:p>
    <w:p>
      <w:pPr>
        <w:spacing w:after="0" w:line="219" w:lineRule="exact"/>
        <w:rPr>
          <w:rFonts w:ascii="Arial" w:cs="Arial" w:eastAsia="Arial" w:hAnsi="Arial"/>
          <w:sz w:val="18"/>
          <w:szCs w:val="18"/>
          <w:color w:val="auto"/>
        </w:rPr>
      </w:pPr>
    </w:p>
    <w:p>
      <w:pPr>
        <w:ind w:left="600"/>
        <w:spacing w:after="0" w:line="181" w:lineRule="exact"/>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102" w:lineRule="exact"/>
        <w:rPr>
          <w:rFonts w:ascii="Arial" w:cs="Arial" w:eastAsia="Arial" w:hAnsi="Arial"/>
          <w:sz w:val="18"/>
          <w:szCs w:val="18"/>
          <w:color w:val="auto"/>
        </w:rPr>
      </w:pPr>
    </w:p>
    <w:p>
      <w:pPr>
        <w:ind w:left="600" w:hanging="447"/>
        <w:spacing w:after="0"/>
        <w:tabs>
          <w:tab w:leader="none" w:pos="600" w:val="left"/>
        </w:tabs>
        <w:numPr>
          <w:ilvl w:val="1"/>
          <w:numId w:val="8"/>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44" w:lineRule="exact"/>
        <w:rPr>
          <w:rFonts w:ascii="Arial" w:cs="Arial" w:eastAsia="Arial" w:hAnsi="Arial"/>
          <w:sz w:val="18"/>
          <w:szCs w:val="18"/>
          <w:color w:val="auto"/>
        </w:rPr>
      </w:pPr>
    </w:p>
    <w:p>
      <w:pPr>
        <w:ind w:left="600"/>
        <w:spacing w:after="0"/>
        <w:rPr>
          <w:rFonts w:ascii="Arial" w:cs="Arial" w:eastAsia="Arial" w:hAnsi="Arial"/>
          <w:sz w:val="18"/>
          <w:szCs w:val="18"/>
          <w:color w:val="auto"/>
        </w:rPr>
      </w:pPr>
      <w:r>
        <w:rPr>
          <w:rFonts w:ascii="Arial" w:cs="Arial" w:eastAsia="Arial" w:hAnsi="Arial"/>
          <w:sz w:val="18"/>
          <w:szCs w:val="18"/>
          <w:color w:val="auto"/>
        </w:rPr>
        <w:t>2.04%</w:t>
      </w:r>
      <w:r>
        <w:rPr>
          <w:rFonts w:ascii="Arial" w:cs="Arial" w:eastAsia="Arial" w:hAnsi="Arial"/>
          <w:sz w:val="15"/>
          <w:szCs w:val="15"/>
          <w:color w:val="auto"/>
        </w:rPr>
        <w:t>1</w:t>
      </w:r>
    </w:p>
    <w:p>
      <w:pPr>
        <w:spacing w:after="0" w:line="36" w:lineRule="exact"/>
        <w:rPr>
          <w:rFonts w:ascii="Arial" w:cs="Arial" w:eastAsia="Arial" w:hAnsi="Arial"/>
          <w:sz w:val="18"/>
          <w:szCs w:val="18"/>
          <w:color w:val="auto"/>
        </w:rPr>
      </w:pPr>
    </w:p>
    <w:p>
      <w:pPr>
        <w:ind w:left="600" w:right="7840" w:hanging="447"/>
        <w:spacing w:after="0" w:line="559" w:lineRule="auto"/>
        <w:tabs>
          <w:tab w:leader="none" w:pos="597" w:val="left"/>
        </w:tabs>
        <w:numPr>
          <w:ilvl w:val="1"/>
          <w:numId w:val="8"/>
        </w:numPr>
        <w:rPr>
          <w:rFonts w:ascii="Arial" w:cs="Arial" w:eastAsia="Arial" w:hAnsi="Arial"/>
          <w:sz w:val="18"/>
          <w:szCs w:val="18"/>
          <w:color w:val="auto"/>
        </w:rPr>
      </w:pPr>
      <w:r>
        <w:rPr>
          <w:rFonts w:ascii="Arial" w:cs="Arial" w:eastAsia="Arial" w:hAnsi="Arial"/>
          <w:sz w:val="18"/>
          <w:szCs w:val="18"/>
          <w:color w:val="auto"/>
        </w:rPr>
        <w:t>TYPE OF REPORTING PERSON* IN</w:t>
      </w:r>
    </w:p>
    <w:p>
      <w:pPr>
        <w:spacing w:after="0" w:line="142" w:lineRule="exact"/>
        <w:rPr>
          <w:rFonts w:ascii="Arial" w:cs="Arial" w:eastAsia="Arial" w:hAnsi="Arial"/>
          <w:sz w:val="18"/>
          <w:szCs w:val="18"/>
          <w:color w:val="auto"/>
        </w:rPr>
      </w:pPr>
    </w:p>
    <w:p>
      <w:pPr>
        <w:ind w:left="420" w:right="100" w:hanging="432"/>
        <w:spacing w:after="0" w:line="342" w:lineRule="auto"/>
        <w:rPr>
          <w:rFonts w:ascii="Arial" w:cs="Arial" w:eastAsia="Arial" w:hAnsi="Arial"/>
          <w:sz w:val="18"/>
          <w:szCs w:val="18"/>
          <w:color w:val="auto"/>
        </w:rPr>
      </w:pPr>
      <w:r>
        <w:rPr>
          <w:rFonts w:ascii="Arial" w:cs="Arial" w:eastAsia="Arial" w:hAnsi="Arial"/>
          <w:sz w:val="15"/>
          <w:szCs w:val="15"/>
          <w:color w:val="auto"/>
        </w:rPr>
        <w:t>1</w:t>
      </w:r>
      <w:r>
        <w:rPr>
          <w:rFonts w:ascii="Arial" w:cs="Arial" w:eastAsia="Arial" w:hAnsi="Arial"/>
          <w:sz w:val="16"/>
          <w:szCs w:val="16"/>
          <w:color w:val="auto"/>
        </w:rPr>
        <w:t>This percentage is calculated based upon 27,519,053 shares of the Issuer’s common stock outstanding as of November 4, 2021, as reported by the Issuer in its Form 10-Q for the quarter ended September 30, 2021, filed with the Securities and Exchange Commission on November 12,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-357505</wp:posOffset>
            </wp:positionV>
            <wp:extent cx="77152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ectPr>
          <w:pgSz w:w="11900" w:h="16838" w:orient="portrait"/>
          <w:cols w:equalWidth="0" w:num="1">
            <w:col w:w="11020"/>
          </w:cols>
          <w:pgMar w:left="440" w:top="274" w:right="439" w:bottom="1440" w:gutter="0" w:footer="0" w:header="0"/>
        </w:sectPr>
      </w:pPr>
    </w:p>
    <w:bookmarkStart w:id="2" w:name="page3"/>
    <w:bookmarkEnd w:id="2"/>
    <w:p>
      <w:pPr>
        <w:ind w:left="4"/>
        <w:spacing w:after="0"/>
        <w:tabs>
          <w:tab w:leader="none" w:pos="5384" w:val="left"/>
          <w:tab w:leader="none" w:pos="9724"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CUSIP No. 9251 1W 108</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3 of 5 Pages</w:t>
      </w:r>
    </w:p>
    <w:p>
      <w:pPr>
        <w:spacing w:after="0" w:line="154"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Item 1.</w:t>
      </w:r>
    </w:p>
    <w:p>
      <w:pPr>
        <w:spacing w:after="0" w:line="135" w:lineRule="exact"/>
        <w:rPr>
          <w:sz w:val="20"/>
          <w:szCs w:val="20"/>
          <w:color w:val="auto"/>
        </w:rPr>
      </w:pPr>
    </w:p>
    <w:p>
      <w:pPr>
        <w:ind w:left="424" w:hanging="424"/>
        <w:spacing w:after="0"/>
        <w:tabs>
          <w:tab w:leader="none" w:pos="424" w:val="left"/>
        </w:tabs>
        <w:numPr>
          <w:ilvl w:val="0"/>
          <w:numId w:val="9"/>
        </w:numPr>
        <w:rPr>
          <w:rFonts w:ascii="Arial" w:cs="Arial" w:eastAsia="Arial" w:hAnsi="Arial"/>
          <w:sz w:val="18"/>
          <w:szCs w:val="18"/>
          <w:color w:val="auto"/>
        </w:rPr>
      </w:pPr>
      <w:r>
        <w:rPr>
          <w:rFonts w:ascii="Arial" w:cs="Arial" w:eastAsia="Arial" w:hAnsi="Arial"/>
          <w:sz w:val="18"/>
          <w:szCs w:val="18"/>
          <w:color w:val="auto"/>
        </w:rPr>
        <w:t>Name of Issuer</w:t>
      </w:r>
    </w:p>
    <w:p>
      <w:pPr>
        <w:spacing w:after="0" w:line="221" w:lineRule="exact"/>
        <w:rPr>
          <w:rFonts w:ascii="Arial" w:cs="Arial" w:eastAsia="Arial" w:hAnsi="Arial"/>
          <w:sz w:val="18"/>
          <w:szCs w:val="18"/>
          <w:color w:val="auto"/>
        </w:rPr>
      </w:pPr>
    </w:p>
    <w:p>
      <w:pPr>
        <w:ind w:left="444"/>
        <w:spacing w:after="0"/>
        <w:rPr>
          <w:rFonts w:ascii="Arial" w:cs="Arial" w:eastAsia="Arial" w:hAnsi="Arial"/>
          <w:sz w:val="18"/>
          <w:szCs w:val="18"/>
          <w:color w:val="auto"/>
        </w:rPr>
      </w:pPr>
      <w:r>
        <w:rPr>
          <w:rFonts w:ascii="Arial" w:cs="Arial" w:eastAsia="Arial" w:hAnsi="Arial"/>
          <w:sz w:val="18"/>
          <w:szCs w:val="18"/>
          <w:b w:val="1"/>
          <w:bCs w:val="1"/>
          <w:color w:val="auto"/>
        </w:rPr>
        <w:t>Verrica Pharmaceuticals Inc.</w:t>
      </w:r>
    </w:p>
    <w:p>
      <w:pPr>
        <w:spacing w:after="0" w:line="134" w:lineRule="exact"/>
        <w:rPr>
          <w:rFonts w:ascii="Arial" w:cs="Arial" w:eastAsia="Arial" w:hAnsi="Arial"/>
          <w:sz w:val="18"/>
          <w:szCs w:val="18"/>
          <w:color w:val="auto"/>
        </w:rPr>
      </w:pPr>
    </w:p>
    <w:p>
      <w:pPr>
        <w:ind w:left="424" w:hanging="424"/>
        <w:spacing w:after="0"/>
        <w:tabs>
          <w:tab w:leader="none" w:pos="424" w:val="left"/>
        </w:tabs>
        <w:numPr>
          <w:ilvl w:val="0"/>
          <w:numId w:val="9"/>
        </w:numPr>
        <w:rPr>
          <w:rFonts w:ascii="Arial" w:cs="Arial" w:eastAsia="Arial" w:hAnsi="Arial"/>
          <w:sz w:val="18"/>
          <w:szCs w:val="18"/>
          <w:color w:val="auto"/>
        </w:rPr>
      </w:pPr>
      <w:r>
        <w:rPr>
          <w:rFonts w:ascii="Arial" w:cs="Arial" w:eastAsia="Arial" w:hAnsi="Arial"/>
          <w:sz w:val="18"/>
          <w:szCs w:val="18"/>
          <w:color w:val="auto"/>
        </w:rPr>
        <w:t>Address of Issuer’s Principal Executive Offices</w:t>
      </w:r>
    </w:p>
    <w:p>
      <w:pPr>
        <w:spacing w:after="0" w:line="221" w:lineRule="exact"/>
        <w:rPr>
          <w:rFonts w:ascii="Arial" w:cs="Arial" w:eastAsia="Arial" w:hAnsi="Arial"/>
          <w:sz w:val="18"/>
          <w:szCs w:val="18"/>
          <w:color w:val="auto"/>
        </w:rPr>
      </w:pPr>
    </w:p>
    <w:p>
      <w:pPr>
        <w:ind w:left="444" w:right="8180"/>
        <w:spacing w:after="0" w:line="312" w:lineRule="auto"/>
        <w:rPr>
          <w:rFonts w:ascii="Arial" w:cs="Arial" w:eastAsia="Arial" w:hAnsi="Arial"/>
          <w:sz w:val="18"/>
          <w:szCs w:val="18"/>
          <w:color w:val="auto"/>
        </w:rPr>
      </w:pPr>
      <w:r>
        <w:rPr>
          <w:rFonts w:ascii="Arial" w:cs="Arial" w:eastAsia="Arial" w:hAnsi="Arial"/>
          <w:sz w:val="17"/>
          <w:szCs w:val="17"/>
          <w:b w:val="1"/>
          <w:bCs w:val="1"/>
          <w:color w:val="auto"/>
        </w:rPr>
        <w:t>10 North High Street, Suite 200 West Chester, PA 19380</w:t>
      </w:r>
    </w:p>
    <w:p>
      <w:pPr>
        <w:spacing w:after="0" w:line="288"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Item 2.</w:t>
      </w:r>
    </w:p>
    <w:p>
      <w:pPr>
        <w:spacing w:after="0" w:line="135" w:lineRule="exact"/>
        <w:rPr>
          <w:sz w:val="20"/>
          <w:szCs w:val="20"/>
          <w:color w:val="auto"/>
        </w:rPr>
      </w:pPr>
    </w:p>
    <w:p>
      <w:pPr>
        <w:ind w:left="424" w:hanging="424"/>
        <w:spacing w:after="0"/>
        <w:tabs>
          <w:tab w:leader="none" w:pos="424" w:val="left"/>
        </w:tabs>
        <w:numPr>
          <w:ilvl w:val="0"/>
          <w:numId w:val="10"/>
        </w:numPr>
        <w:rPr>
          <w:rFonts w:ascii="Arial" w:cs="Arial" w:eastAsia="Arial" w:hAnsi="Arial"/>
          <w:sz w:val="18"/>
          <w:szCs w:val="18"/>
          <w:color w:val="auto"/>
        </w:rPr>
      </w:pPr>
      <w:r>
        <w:rPr>
          <w:rFonts w:ascii="Arial" w:cs="Arial" w:eastAsia="Arial" w:hAnsi="Arial"/>
          <w:sz w:val="18"/>
          <w:szCs w:val="18"/>
          <w:color w:val="auto"/>
        </w:rPr>
        <w:t>Name of Person Filing</w:t>
      </w:r>
    </w:p>
    <w:p>
      <w:pPr>
        <w:spacing w:after="0" w:line="221" w:lineRule="exact"/>
        <w:rPr>
          <w:rFonts w:ascii="Arial" w:cs="Arial" w:eastAsia="Arial" w:hAnsi="Arial"/>
          <w:sz w:val="18"/>
          <w:szCs w:val="18"/>
          <w:color w:val="auto"/>
        </w:rPr>
      </w:pPr>
    </w:p>
    <w:p>
      <w:pPr>
        <w:ind w:left="444"/>
        <w:spacing w:after="0"/>
        <w:rPr>
          <w:rFonts w:ascii="Arial" w:cs="Arial" w:eastAsia="Arial" w:hAnsi="Arial"/>
          <w:sz w:val="18"/>
          <w:szCs w:val="18"/>
          <w:color w:val="auto"/>
        </w:rPr>
      </w:pPr>
      <w:r>
        <w:rPr>
          <w:rFonts w:ascii="Arial" w:cs="Arial" w:eastAsia="Arial" w:hAnsi="Arial"/>
          <w:sz w:val="18"/>
          <w:szCs w:val="18"/>
          <w:b w:val="1"/>
          <w:bCs w:val="1"/>
          <w:color w:val="auto"/>
        </w:rPr>
        <w:t>Matt Davidson</w:t>
      </w:r>
    </w:p>
    <w:p>
      <w:pPr>
        <w:spacing w:after="0" w:line="134" w:lineRule="exact"/>
        <w:rPr>
          <w:rFonts w:ascii="Arial" w:cs="Arial" w:eastAsia="Arial" w:hAnsi="Arial"/>
          <w:sz w:val="18"/>
          <w:szCs w:val="18"/>
          <w:color w:val="auto"/>
        </w:rPr>
      </w:pPr>
    </w:p>
    <w:p>
      <w:pPr>
        <w:ind w:left="424" w:hanging="424"/>
        <w:spacing w:after="0"/>
        <w:tabs>
          <w:tab w:leader="none" w:pos="424" w:val="left"/>
        </w:tabs>
        <w:numPr>
          <w:ilvl w:val="0"/>
          <w:numId w:val="10"/>
        </w:numPr>
        <w:rPr>
          <w:rFonts w:ascii="Arial" w:cs="Arial" w:eastAsia="Arial" w:hAnsi="Arial"/>
          <w:sz w:val="18"/>
          <w:szCs w:val="18"/>
          <w:color w:val="auto"/>
        </w:rPr>
      </w:pPr>
      <w:r>
        <w:rPr>
          <w:rFonts w:ascii="Arial" w:cs="Arial" w:eastAsia="Arial" w:hAnsi="Arial"/>
          <w:sz w:val="18"/>
          <w:szCs w:val="18"/>
          <w:color w:val="auto"/>
        </w:rPr>
        <w:t>Address of Principal Business Office or, if none, Residence</w:t>
      </w:r>
    </w:p>
    <w:p>
      <w:pPr>
        <w:spacing w:after="0" w:line="221" w:lineRule="exact"/>
        <w:rPr>
          <w:rFonts w:ascii="Arial" w:cs="Arial" w:eastAsia="Arial" w:hAnsi="Arial"/>
          <w:sz w:val="18"/>
          <w:szCs w:val="18"/>
          <w:color w:val="auto"/>
        </w:rPr>
      </w:pPr>
    </w:p>
    <w:p>
      <w:pPr>
        <w:ind w:left="444" w:right="8540"/>
        <w:spacing w:after="0" w:line="282" w:lineRule="auto"/>
        <w:rPr>
          <w:rFonts w:ascii="Arial" w:cs="Arial" w:eastAsia="Arial" w:hAnsi="Arial"/>
          <w:sz w:val="18"/>
          <w:szCs w:val="18"/>
          <w:color w:val="auto"/>
        </w:rPr>
      </w:pPr>
      <w:r>
        <w:rPr>
          <w:rFonts w:ascii="Arial" w:cs="Arial" w:eastAsia="Arial" w:hAnsi="Arial"/>
          <w:sz w:val="18"/>
          <w:szCs w:val="18"/>
          <w:b w:val="1"/>
          <w:bCs w:val="1"/>
          <w:color w:val="auto"/>
        </w:rPr>
        <w:t>4267 Valley Meadow Road Encino, CA 91436</w:t>
      </w:r>
    </w:p>
    <w:p>
      <w:pPr>
        <w:spacing w:after="0" w:line="71" w:lineRule="exact"/>
        <w:rPr>
          <w:rFonts w:ascii="Arial" w:cs="Arial" w:eastAsia="Arial" w:hAnsi="Arial"/>
          <w:sz w:val="18"/>
          <w:szCs w:val="18"/>
          <w:color w:val="auto"/>
        </w:rPr>
      </w:pPr>
    </w:p>
    <w:p>
      <w:pPr>
        <w:ind w:left="424" w:hanging="424"/>
        <w:spacing w:after="0"/>
        <w:tabs>
          <w:tab w:leader="none" w:pos="424" w:val="left"/>
        </w:tabs>
        <w:numPr>
          <w:ilvl w:val="0"/>
          <w:numId w:val="10"/>
        </w:numPr>
        <w:rPr>
          <w:rFonts w:ascii="Arial" w:cs="Arial" w:eastAsia="Arial" w:hAnsi="Arial"/>
          <w:sz w:val="18"/>
          <w:szCs w:val="18"/>
          <w:color w:val="auto"/>
        </w:rPr>
      </w:pPr>
      <w:r>
        <w:rPr>
          <w:rFonts w:ascii="Arial" w:cs="Arial" w:eastAsia="Arial" w:hAnsi="Arial"/>
          <w:sz w:val="18"/>
          <w:szCs w:val="18"/>
          <w:color w:val="auto"/>
        </w:rPr>
        <w:t>Citizenship</w:t>
      </w:r>
    </w:p>
    <w:p>
      <w:pPr>
        <w:spacing w:after="0" w:line="221" w:lineRule="exact"/>
        <w:rPr>
          <w:rFonts w:ascii="Arial" w:cs="Arial" w:eastAsia="Arial" w:hAnsi="Arial"/>
          <w:sz w:val="18"/>
          <w:szCs w:val="18"/>
          <w:color w:val="auto"/>
        </w:rPr>
      </w:pPr>
    </w:p>
    <w:p>
      <w:pPr>
        <w:ind w:left="444"/>
        <w:spacing w:after="0"/>
        <w:rPr>
          <w:rFonts w:ascii="Arial" w:cs="Arial" w:eastAsia="Arial" w:hAnsi="Arial"/>
          <w:sz w:val="18"/>
          <w:szCs w:val="18"/>
          <w:color w:val="auto"/>
        </w:rPr>
      </w:pPr>
      <w:r>
        <w:rPr>
          <w:rFonts w:ascii="Arial" w:cs="Arial" w:eastAsia="Arial" w:hAnsi="Arial"/>
          <w:sz w:val="18"/>
          <w:szCs w:val="18"/>
          <w:b w:val="1"/>
          <w:bCs w:val="1"/>
          <w:color w:val="auto"/>
        </w:rPr>
        <w:t>Matt Davidson is a citizen of the United States of America.</w:t>
      </w:r>
    </w:p>
    <w:p>
      <w:pPr>
        <w:spacing w:after="0" w:line="134" w:lineRule="exact"/>
        <w:rPr>
          <w:rFonts w:ascii="Arial" w:cs="Arial" w:eastAsia="Arial" w:hAnsi="Arial"/>
          <w:sz w:val="18"/>
          <w:szCs w:val="18"/>
          <w:color w:val="auto"/>
        </w:rPr>
      </w:pPr>
    </w:p>
    <w:p>
      <w:pPr>
        <w:ind w:left="424" w:hanging="424"/>
        <w:spacing w:after="0"/>
        <w:tabs>
          <w:tab w:leader="none" w:pos="424" w:val="left"/>
        </w:tabs>
        <w:numPr>
          <w:ilvl w:val="0"/>
          <w:numId w:val="10"/>
        </w:numPr>
        <w:rPr>
          <w:rFonts w:ascii="Arial" w:cs="Arial" w:eastAsia="Arial" w:hAnsi="Arial"/>
          <w:sz w:val="18"/>
          <w:szCs w:val="18"/>
          <w:color w:val="auto"/>
        </w:rPr>
      </w:pPr>
      <w:r>
        <w:rPr>
          <w:rFonts w:ascii="Arial" w:cs="Arial" w:eastAsia="Arial" w:hAnsi="Arial"/>
          <w:sz w:val="18"/>
          <w:szCs w:val="18"/>
          <w:color w:val="auto"/>
        </w:rPr>
        <w:t>Title of Class of Securities</w:t>
      </w:r>
    </w:p>
    <w:p>
      <w:pPr>
        <w:spacing w:after="0" w:line="221" w:lineRule="exact"/>
        <w:rPr>
          <w:rFonts w:ascii="Arial" w:cs="Arial" w:eastAsia="Arial" w:hAnsi="Arial"/>
          <w:sz w:val="18"/>
          <w:szCs w:val="18"/>
          <w:color w:val="auto"/>
        </w:rPr>
      </w:pPr>
    </w:p>
    <w:p>
      <w:pPr>
        <w:ind w:left="444"/>
        <w:spacing w:after="0"/>
        <w:rPr>
          <w:rFonts w:ascii="Arial" w:cs="Arial" w:eastAsia="Arial" w:hAnsi="Arial"/>
          <w:sz w:val="18"/>
          <w:szCs w:val="18"/>
          <w:color w:val="auto"/>
        </w:rPr>
      </w:pPr>
      <w:r>
        <w:rPr>
          <w:rFonts w:ascii="Arial" w:cs="Arial" w:eastAsia="Arial" w:hAnsi="Arial"/>
          <w:sz w:val="18"/>
          <w:szCs w:val="18"/>
          <w:b w:val="1"/>
          <w:bCs w:val="1"/>
          <w:color w:val="auto"/>
        </w:rPr>
        <w:t>Common Stock</w:t>
      </w:r>
    </w:p>
    <w:p>
      <w:pPr>
        <w:spacing w:after="0" w:line="134" w:lineRule="exact"/>
        <w:rPr>
          <w:rFonts w:ascii="Arial" w:cs="Arial" w:eastAsia="Arial" w:hAnsi="Arial"/>
          <w:sz w:val="18"/>
          <w:szCs w:val="18"/>
          <w:color w:val="auto"/>
        </w:rPr>
      </w:pPr>
    </w:p>
    <w:p>
      <w:pPr>
        <w:ind w:left="424" w:hanging="424"/>
        <w:spacing w:after="0"/>
        <w:tabs>
          <w:tab w:leader="none" w:pos="424" w:val="left"/>
        </w:tabs>
        <w:numPr>
          <w:ilvl w:val="0"/>
          <w:numId w:val="10"/>
        </w:numPr>
        <w:rPr>
          <w:rFonts w:ascii="Arial" w:cs="Arial" w:eastAsia="Arial" w:hAnsi="Arial"/>
          <w:sz w:val="18"/>
          <w:szCs w:val="18"/>
          <w:color w:val="auto"/>
        </w:rPr>
      </w:pPr>
      <w:r>
        <w:rPr>
          <w:rFonts w:ascii="Arial" w:cs="Arial" w:eastAsia="Arial" w:hAnsi="Arial"/>
          <w:sz w:val="18"/>
          <w:szCs w:val="18"/>
          <w:color w:val="auto"/>
        </w:rPr>
        <w:t>CUSIP Number</w:t>
      </w:r>
    </w:p>
    <w:p>
      <w:pPr>
        <w:spacing w:after="0" w:line="221"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9251 1W 108</w:t>
      </w:r>
    </w:p>
    <w:p>
      <w:pPr>
        <w:spacing w:after="0" w:line="131" w:lineRule="exact"/>
        <w:rPr>
          <w:sz w:val="20"/>
          <w:szCs w:val="20"/>
          <w:color w:val="auto"/>
        </w:rPr>
      </w:pPr>
    </w:p>
    <w:p>
      <w:pPr>
        <w:ind w:left="4"/>
        <w:spacing w:after="0"/>
        <w:tabs>
          <w:tab w:leader="none" w:pos="524" w:val="left"/>
        </w:tabs>
        <w:rPr>
          <w:sz w:val="20"/>
          <w:szCs w:val="20"/>
          <w:color w:val="auto"/>
        </w:rPr>
      </w:pPr>
      <w:r>
        <w:rPr>
          <w:rFonts w:ascii="Arial" w:cs="Arial" w:eastAsia="Arial" w:hAnsi="Arial"/>
          <w:sz w:val="18"/>
          <w:szCs w:val="18"/>
          <w:b w:val="1"/>
          <w:bCs w:val="1"/>
          <w:color w:val="auto"/>
        </w:rPr>
        <w:t>Item</w:t>
      </w:r>
      <w:r>
        <w:rPr>
          <w:sz w:val="20"/>
          <w:szCs w:val="20"/>
          <w:color w:val="auto"/>
        </w:rPr>
        <w:tab/>
      </w:r>
      <w:r>
        <w:rPr>
          <w:rFonts w:ascii="Arial" w:cs="Arial" w:eastAsia="Arial" w:hAnsi="Arial"/>
          <w:sz w:val="16"/>
          <w:szCs w:val="16"/>
          <w:b w:val="1"/>
          <w:bCs w:val="1"/>
          <w:color w:val="auto"/>
        </w:rPr>
        <w:t xml:space="preserve">3. If this statement is filed pursuant to §§240.13d-1(b) or 240.13d-2(b) or (c), check whether the person filing is a: </w:t>
      </w:r>
      <w:r>
        <w:rPr>
          <w:rFonts w:ascii="Arial" w:cs="Arial" w:eastAsia="Arial" w:hAnsi="Arial"/>
          <w:sz w:val="16"/>
          <w:szCs w:val="16"/>
          <w:color w:val="auto"/>
        </w:rPr>
        <w:t>NOT APPLICABLE.</w:t>
      </w:r>
    </w:p>
    <w:p>
      <w:pPr>
        <w:spacing w:after="0" w:line="223" w:lineRule="exact"/>
        <w:rPr>
          <w:sz w:val="20"/>
          <w:szCs w:val="20"/>
          <w:color w:val="auto"/>
        </w:rPr>
      </w:pPr>
    </w:p>
    <w:p>
      <w:pPr>
        <w:ind w:left="344" w:hanging="344"/>
        <w:spacing w:after="0" w:line="207" w:lineRule="exact"/>
        <w:tabs>
          <w:tab w:leader="none" w:pos="344"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Broker or dealer registered under section 15 of the Act (15 U.S.C. 78o);</w:t>
      </w:r>
    </w:p>
    <w:p>
      <w:pPr>
        <w:spacing w:after="0" w:line="117" w:lineRule="exact"/>
        <w:rPr>
          <w:rFonts w:ascii="Arial" w:cs="Arial" w:eastAsia="Arial" w:hAnsi="Arial"/>
          <w:sz w:val="18"/>
          <w:szCs w:val="18"/>
          <w:color w:val="auto"/>
        </w:rPr>
      </w:pPr>
    </w:p>
    <w:p>
      <w:pPr>
        <w:ind w:left="344" w:hanging="344"/>
        <w:spacing w:after="0" w:line="207" w:lineRule="exact"/>
        <w:tabs>
          <w:tab w:leader="none" w:pos="344"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Bank as defined in section 3(a)(6) of the Act (15 U.S.C. 78c);</w:t>
      </w:r>
    </w:p>
    <w:p>
      <w:pPr>
        <w:spacing w:after="0" w:line="117" w:lineRule="exact"/>
        <w:rPr>
          <w:rFonts w:ascii="Arial" w:cs="Arial" w:eastAsia="Arial" w:hAnsi="Arial"/>
          <w:sz w:val="18"/>
          <w:szCs w:val="18"/>
          <w:color w:val="auto"/>
        </w:rPr>
      </w:pPr>
    </w:p>
    <w:p>
      <w:pPr>
        <w:ind w:left="344" w:hanging="344"/>
        <w:spacing w:after="0" w:line="207" w:lineRule="exact"/>
        <w:tabs>
          <w:tab w:leader="none" w:pos="344"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Insurance company as defined in section 3(a)(19) of the Act (15 U.S.C. 78c);</w:t>
      </w:r>
    </w:p>
    <w:p>
      <w:pPr>
        <w:spacing w:after="0" w:line="117" w:lineRule="exact"/>
        <w:rPr>
          <w:rFonts w:ascii="Arial" w:cs="Arial" w:eastAsia="Arial" w:hAnsi="Arial"/>
          <w:sz w:val="18"/>
          <w:szCs w:val="18"/>
          <w:color w:val="auto"/>
        </w:rPr>
      </w:pPr>
    </w:p>
    <w:p>
      <w:pPr>
        <w:ind w:left="344" w:hanging="344"/>
        <w:spacing w:after="0" w:line="207" w:lineRule="exact"/>
        <w:tabs>
          <w:tab w:leader="none" w:pos="344"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Investment company registered under section 8 of the Investment Company Act of 1940 (15 U.S.C 80a-8);</w:t>
      </w:r>
    </w:p>
    <w:p>
      <w:pPr>
        <w:spacing w:after="0" w:line="117" w:lineRule="exact"/>
        <w:rPr>
          <w:rFonts w:ascii="Arial" w:cs="Arial" w:eastAsia="Arial" w:hAnsi="Arial"/>
          <w:sz w:val="18"/>
          <w:szCs w:val="18"/>
          <w:color w:val="auto"/>
        </w:rPr>
      </w:pPr>
    </w:p>
    <w:p>
      <w:pPr>
        <w:ind w:left="344" w:hanging="344"/>
        <w:spacing w:after="0" w:line="207" w:lineRule="exact"/>
        <w:tabs>
          <w:tab w:leader="none" w:pos="344"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investment adviser in accordance with §240.13d-1(b)(1)(ii)(E);</w:t>
      </w:r>
    </w:p>
    <w:p>
      <w:pPr>
        <w:spacing w:after="0" w:line="117" w:lineRule="exact"/>
        <w:rPr>
          <w:rFonts w:ascii="Arial" w:cs="Arial" w:eastAsia="Arial" w:hAnsi="Arial"/>
          <w:sz w:val="18"/>
          <w:szCs w:val="18"/>
          <w:color w:val="auto"/>
        </w:rPr>
      </w:pPr>
    </w:p>
    <w:p>
      <w:pPr>
        <w:ind w:left="344" w:hanging="344"/>
        <w:spacing w:after="0" w:line="207" w:lineRule="exact"/>
        <w:tabs>
          <w:tab w:leader="none" w:pos="344"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employee benefit plan or endowment fund in accordance with §240.13d-1(b)(1)(ii)(F);</w:t>
      </w:r>
    </w:p>
    <w:p>
      <w:pPr>
        <w:spacing w:after="0" w:line="117" w:lineRule="exact"/>
        <w:rPr>
          <w:rFonts w:ascii="Arial" w:cs="Arial" w:eastAsia="Arial" w:hAnsi="Arial"/>
          <w:sz w:val="18"/>
          <w:szCs w:val="18"/>
          <w:color w:val="auto"/>
        </w:rPr>
      </w:pPr>
    </w:p>
    <w:p>
      <w:pPr>
        <w:ind w:left="344" w:hanging="344"/>
        <w:spacing w:after="0" w:line="207" w:lineRule="exact"/>
        <w:tabs>
          <w:tab w:leader="none" w:pos="344"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parent holding company or control person in accordance with § 240.13d-1(b)(1)(ii)(G);</w:t>
      </w:r>
    </w:p>
    <w:p>
      <w:pPr>
        <w:spacing w:after="0" w:line="117" w:lineRule="exact"/>
        <w:rPr>
          <w:rFonts w:ascii="Arial" w:cs="Arial" w:eastAsia="Arial" w:hAnsi="Arial"/>
          <w:sz w:val="18"/>
          <w:szCs w:val="18"/>
          <w:color w:val="auto"/>
        </w:rPr>
      </w:pPr>
    </w:p>
    <w:p>
      <w:pPr>
        <w:ind w:left="344" w:hanging="344"/>
        <w:spacing w:after="0" w:line="207" w:lineRule="exact"/>
        <w:tabs>
          <w:tab w:leader="none" w:pos="344"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savings associations as defined in Section 3(b) of the Federal Deposit Insurance Act (12 U.S.C. 1813);</w:t>
      </w:r>
    </w:p>
    <w:p>
      <w:pPr>
        <w:spacing w:after="0" w:line="117" w:lineRule="exact"/>
        <w:rPr>
          <w:rFonts w:ascii="Arial" w:cs="Arial" w:eastAsia="Arial" w:hAnsi="Arial"/>
          <w:sz w:val="18"/>
          <w:szCs w:val="18"/>
          <w:color w:val="auto"/>
        </w:rPr>
      </w:pPr>
    </w:p>
    <w:p>
      <w:pPr>
        <w:ind w:left="664" w:right="220" w:hanging="664"/>
        <w:spacing w:after="0" w:line="239" w:lineRule="exact"/>
        <w:tabs>
          <w:tab w:leader="none" w:pos="34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church plan that is excluded from the definition of an investment company under section 3(c)(14) of the Investment Company Act of 1940 (15 U.S.C. 80a-3);</w:t>
      </w:r>
    </w:p>
    <w:p>
      <w:pPr>
        <w:spacing w:after="0" w:line="62" w:lineRule="exact"/>
        <w:rPr>
          <w:rFonts w:ascii="Arial" w:cs="Arial" w:eastAsia="Arial" w:hAnsi="Arial"/>
          <w:sz w:val="18"/>
          <w:szCs w:val="18"/>
          <w:color w:val="auto"/>
        </w:rPr>
      </w:pPr>
    </w:p>
    <w:p>
      <w:pPr>
        <w:ind w:left="344" w:hanging="344"/>
        <w:spacing w:after="0" w:line="207" w:lineRule="exact"/>
        <w:tabs>
          <w:tab w:leader="none" w:pos="344"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non-U.S. institution in accordance with §240.13d-1(b)(1)(ii)(J);</w:t>
      </w:r>
    </w:p>
    <w:p>
      <w:pPr>
        <w:spacing w:after="0" w:line="117" w:lineRule="exact"/>
        <w:rPr>
          <w:rFonts w:ascii="Arial" w:cs="Arial" w:eastAsia="Arial" w:hAnsi="Arial"/>
          <w:sz w:val="18"/>
          <w:szCs w:val="18"/>
          <w:color w:val="auto"/>
        </w:rPr>
      </w:pPr>
    </w:p>
    <w:p>
      <w:pPr>
        <w:ind w:left="344" w:hanging="344"/>
        <w:spacing w:after="0" w:line="207" w:lineRule="exact"/>
        <w:tabs>
          <w:tab w:leader="none" w:pos="344"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Group, in accordance with §240.13d-1(b)(1)(ii)(K).</w:t>
      </w:r>
    </w:p>
    <w:p>
      <w:pPr>
        <w:spacing w:after="0" w:line="258" w:lineRule="exact"/>
        <w:rPr>
          <w:sz w:val="20"/>
          <w:szCs w:val="20"/>
          <w:color w:val="auto"/>
        </w:rPr>
      </w:pPr>
    </w:p>
    <w:p>
      <w:pPr>
        <w:ind w:left="444"/>
        <w:spacing w:after="0"/>
        <w:rPr>
          <w:sz w:val="20"/>
          <w:szCs w:val="20"/>
          <w:color w:val="auto"/>
        </w:rPr>
      </w:pPr>
      <w:r>
        <w:rPr>
          <w:rFonts w:ascii="Arial" w:cs="Arial" w:eastAsia="Arial" w:hAnsi="Arial"/>
          <w:sz w:val="18"/>
          <w:szCs w:val="18"/>
          <w:color w:val="auto"/>
        </w:rPr>
        <w:t>If filing as a non-U.S. institution in accordance with §240.13d-1(b)(1)(ii)(J), please specify the type of institution:</w:t>
      </w:r>
    </w:p>
    <w:p>
      <w:pPr>
        <w:sectPr>
          <w:pgSz w:w="11900" w:h="16838" w:orient="portrait"/>
          <w:cols w:equalWidth="0" w:num="1">
            <w:col w:w="11024"/>
          </w:cols>
          <w:pgMar w:left="436" w:top="274" w:right="439" w:bottom="1440" w:gutter="0" w:footer="0" w:header="0"/>
        </w:sectPr>
      </w:pPr>
    </w:p>
    <w:bookmarkStart w:id="3" w:name="page4"/>
    <w:bookmarkEnd w:id="3"/>
    <w:tbl>
      <w:tblPr>
        <w:tblLayout w:type="fixed"/>
        <w:tblInd w:w="4" w:type="dxa"/>
        <w:tblCellMar>
          <w:top w:w="0" w:type="dxa"/>
          <w:left w:w="0" w:type="dxa"/>
          <w:bottom w:w="0" w:type="dxa"/>
          <w:right w:w="0" w:type="dxa"/>
        </w:tblCellMar>
      </w:tblPr>
      <w:tr>
        <w:trPr>
          <w:trHeight w:val="230"/>
        </w:trPr>
        <w:tc>
          <w:tcPr>
            <w:tcW w:w="3700" w:type="dxa"/>
            <w:vAlign w:val="bottom"/>
            <w:gridSpan w:val="2"/>
          </w:tcPr>
          <w:p>
            <w:pPr>
              <w:spacing w:after="0"/>
              <w:rPr>
                <w:sz w:val="20"/>
                <w:szCs w:val="20"/>
                <w:color w:val="auto"/>
              </w:rPr>
            </w:pPr>
            <w:r>
              <w:rPr>
                <w:rFonts w:ascii="Arial" w:cs="Arial" w:eastAsia="Arial" w:hAnsi="Arial"/>
                <w:sz w:val="18"/>
                <w:szCs w:val="18"/>
                <w:color w:val="auto"/>
              </w:rPr>
              <w:t>CUSIP No. 9251 1W 108</w:t>
            </w:r>
          </w:p>
        </w:tc>
        <w:tc>
          <w:tcPr>
            <w:tcW w:w="4020" w:type="dxa"/>
            <w:vAlign w:val="bottom"/>
          </w:tcPr>
          <w:p>
            <w:pPr>
              <w:ind w:left="1700"/>
              <w:spacing w:after="0"/>
              <w:rPr>
                <w:sz w:val="20"/>
                <w:szCs w:val="20"/>
                <w:color w:val="auto"/>
              </w:rPr>
            </w:pPr>
            <w:r>
              <w:rPr>
                <w:rFonts w:ascii="Arial" w:cs="Arial" w:eastAsia="Arial" w:hAnsi="Arial"/>
                <w:sz w:val="18"/>
                <w:szCs w:val="18"/>
                <w:color w:val="auto"/>
              </w:rPr>
              <w:t>13G</w:t>
            </w:r>
          </w:p>
        </w:tc>
        <w:tc>
          <w:tcPr>
            <w:tcW w:w="3300" w:type="dxa"/>
            <w:vAlign w:val="bottom"/>
          </w:tcPr>
          <w:p>
            <w:pPr>
              <w:ind w:left="2020"/>
              <w:spacing w:after="0"/>
              <w:rPr>
                <w:sz w:val="20"/>
                <w:szCs w:val="20"/>
                <w:color w:val="auto"/>
              </w:rPr>
            </w:pPr>
            <w:r>
              <w:rPr>
                <w:rFonts w:ascii="Arial" w:cs="Arial" w:eastAsia="Arial" w:hAnsi="Arial"/>
                <w:sz w:val="18"/>
                <w:szCs w:val="18"/>
                <w:color w:val="auto"/>
                <w:w w:val="85"/>
              </w:rPr>
              <w:t>Page 4 of 5 Pages</w:t>
            </w:r>
          </w:p>
        </w:tc>
      </w:tr>
      <w:tr>
        <w:trPr>
          <w:trHeight w:val="364"/>
        </w:trPr>
        <w:tc>
          <w:tcPr>
            <w:tcW w:w="820" w:type="dxa"/>
            <w:vAlign w:val="bottom"/>
          </w:tcPr>
          <w:p>
            <w:pPr>
              <w:spacing w:after="0"/>
              <w:rPr>
                <w:sz w:val="20"/>
                <w:szCs w:val="20"/>
                <w:color w:val="auto"/>
              </w:rPr>
            </w:pPr>
            <w:r>
              <w:rPr>
                <w:rFonts w:ascii="Arial" w:cs="Arial" w:eastAsia="Arial" w:hAnsi="Arial"/>
                <w:sz w:val="18"/>
                <w:szCs w:val="18"/>
                <w:b w:val="1"/>
                <w:bCs w:val="1"/>
                <w:color w:val="auto"/>
              </w:rPr>
              <w:t>Item 4.</w:t>
            </w:r>
          </w:p>
        </w:tc>
        <w:tc>
          <w:tcPr>
            <w:tcW w:w="2880" w:type="dxa"/>
            <w:vAlign w:val="bottom"/>
          </w:tcPr>
          <w:p>
            <w:pPr>
              <w:ind w:left="260"/>
              <w:spacing w:after="0"/>
              <w:rPr>
                <w:sz w:val="20"/>
                <w:szCs w:val="20"/>
                <w:color w:val="auto"/>
              </w:rPr>
            </w:pPr>
            <w:r>
              <w:rPr>
                <w:rFonts w:ascii="Arial" w:cs="Arial" w:eastAsia="Arial" w:hAnsi="Arial"/>
                <w:sz w:val="18"/>
                <w:szCs w:val="18"/>
                <w:b w:val="1"/>
                <w:bCs w:val="1"/>
                <w:color w:val="auto"/>
              </w:rPr>
              <w:t>Ownership.</w:t>
            </w:r>
          </w:p>
        </w:tc>
        <w:tc>
          <w:tcPr>
            <w:tcW w:w="4020" w:type="dxa"/>
            <w:vAlign w:val="bottom"/>
          </w:tcPr>
          <w:p>
            <w:pPr>
              <w:spacing w:after="0"/>
              <w:rPr>
                <w:sz w:val="24"/>
                <w:szCs w:val="24"/>
                <w:color w:val="auto"/>
              </w:rPr>
            </w:pPr>
          </w:p>
        </w:tc>
        <w:tc>
          <w:tcPr>
            <w:tcW w:w="3300" w:type="dxa"/>
            <w:vAlign w:val="bottom"/>
          </w:tcPr>
          <w:p>
            <w:pPr>
              <w:spacing w:after="0"/>
              <w:rPr>
                <w:sz w:val="24"/>
                <w:szCs w:val="24"/>
                <w:color w:val="auto"/>
              </w:rPr>
            </w:pPr>
          </w:p>
        </w:tc>
      </w:tr>
    </w:tbl>
    <w:p>
      <w:pPr>
        <w:spacing w:after="0" w:line="9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center"/>
        <w:ind w:right="36"/>
        <w:spacing w:after="0"/>
        <w:rPr>
          <w:sz w:val="20"/>
          <w:szCs w:val="20"/>
          <w:color w:val="auto"/>
        </w:rPr>
      </w:pPr>
      <w:r>
        <w:rPr>
          <w:rFonts w:ascii="Arial" w:cs="Arial" w:eastAsia="Arial" w:hAnsi="Arial"/>
          <w:sz w:val="17"/>
          <w:szCs w:val="17"/>
          <w:color w:val="auto"/>
        </w:rPr>
        <w:t>Provide the following information regarding the aggregate number and percentage of the class of securities of the issuer identified in Item 1.</w:t>
      </w:r>
    </w:p>
    <w:p>
      <w:pPr>
        <w:spacing w:after="0" w:line="260" w:lineRule="exact"/>
        <w:rPr>
          <w:sz w:val="20"/>
          <w:szCs w:val="20"/>
          <w:color w:val="auto"/>
        </w:rPr>
      </w:pPr>
    </w:p>
    <w:p>
      <w:pPr>
        <w:ind w:left="424" w:hanging="424"/>
        <w:spacing w:after="0"/>
        <w:tabs>
          <w:tab w:leader="none" w:pos="424" w:val="left"/>
        </w:tabs>
        <w:numPr>
          <w:ilvl w:val="0"/>
          <w:numId w:val="12"/>
        </w:numPr>
        <w:rPr>
          <w:rFonts w:ascii="Arial" w:cs="Arial" w:eastAsia="Arial" w:hAnsi="Arial"/>
          <w:sz w:val="18"/>
          <w:szCs w:val="18"/>
          <w:color w:val="auto"/>
        </w:rPr>
      </w:pPr>
      <w:r>
        <w:rPr>
          <w:rFonts w:ascii="Arial" w:cs="Arial" w:eastAsia="Arial" w:hAnsi="Arial"/>
          <w:sz w:val="18"/>
          <w:szCs w:val="18"/>
          <w:color w:val="auto"/>
        </w:rPr>
        <w:t xml:space="preserve">Amount beneficially owned: </w:t>
      </w:r>
      <w:r>
        <w:rPr>
          <w:rFonts w:ascii="Arial" w:cs="Arial" w:eastAsia="Arial" w:hAnsi="Arial"/>
          <w:sz w:val="18"/>
          <w:szCs w:val="18"/>
          <w:b w:val="1"/>
          <w:bCs w:val="1"/>
          <w:color w:val="auto"/>
        </w:rPr>
        <w:t>See the responses to Item 9 on the attached cover page.</w:t>
      </w:r>
    </w:p>
    <w:p>
      <w:pPr>
        <w:spacing w:after="0" w:line="252" w:lineRule="exact"/>
        <w:rPr>
          <w:rFonts w:ascii="Arial" w:cs="Arial" w:eastAsia="Arial" w:hAnsi="Arial"/>
          <w:sz w:val="18"/>
          <w:szCs w:val="18"/>
          <w:color w:val="auto"/>
        </w:rPr>
      </w:pPr>
    </w:p>
    <w:p>
      <w:pPr>
        <w:ind w:left="424" w:hanging="424"/>
        <w:spacing w:after="0"/>
        <w:tabs>
          <w:tab w:leader="none" w:pos="424" w:val="left"/>
        </w:tabs>
        <w:numPr>
          <w:ilvl w:val="0"/>
          <w:numId w:val="12"/>
        </w:numPr>
        <w:rPr>
          <w:rFonts w:ascii="Arial" w:cs="Arial" w:eastAsia="Arial" w:hAnsi="Arial"/>
          <w:sz w:val="18"/>
          <w:szCs w:val="18"/>
          <w:color w:val="auto"/>
        </w:rPr>
      </w:pPr>
      <w:r>
        <w:rPr>
          <w:rFonts w:ascii="Arial" w:cs="Arial" w:eastAsia="Arial" w:hAnsi="Arial"/>
          <w:sz w:val="18"/>
          <w:szCs w:val="18"/>
          <w:color w:val="auto"/>
        </w:rPr>
        <w:t xml:space="preserve">Percent of class: </w:t>
      </w:r>
      <w:r>
        <w:rPr>
          <w:rFonts w:ascii="Arial" w:cs="Arial" w:eastAsia="Arial" w:hAnsi="Arial"/>
          <w:sz w:val="18"/>
          <w:szCs w:val="18"/>
          <w:b w:val="1"/>
          <w:bCs w:val="1"/>
          <w:color w:val="auto"/>
        </w:rPr>
        <w:t>See the responses to Item 11 on the attached cover page.</w:t>
      </w:r>
    </w:p>
    <w:p>
      <w:pPr>
        <w:spacing w:after="0" w:line="134" w:lineRule="exact"/>
        <w:rPr>
          <w:rFonts w:ascii="Arial" w:cs="Arial" w:eastAsia="Arial" w:hAnsi="Arial"/>
          <w:sz w:val="18"/>
          <w:szCs w:val="18"/>
          <w:color w:val="auto"/>
        </w:rPr>
      </w:pPr>
    </w:p>
    <w:p>
      <w:pPr>
        <w:ind w:left="424" w:hanging="424"/>
        <w:spacing w:after="0"/>
        <w:tabs>
          <w:tab w:leader="none" w:pos="424" w:val="left"/>
        </w:tabs>
        <w:numPr>
          <w:ilvl w:val="0"/>
          <w:numId w:val="12"/>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126" w:lineRule="exact"/>
        <w:rPr>
          <w:rFonts w:ascii="Arial" w:cs="Arial" w:eastAsia="Arial" w:hAnsi="Arial"/>
          <w:sz w:val="18"/>
          <w:szCs w:val="18"/>
          <w:color w:val="auto"/>
        </w:rPr>
      </w:pPr>
    </w:p>
    <w:p>
      <w:pPr>
        <w:ind w:left="964" w:hanging="532"/>
        <w:spacing w:after="0"/>
        <w:tabs>
          <w:tab w:leader="none" w:pos="964" w:val="left"/>
        </w:tabs>
        <w:numPr>
          <w:ilvl w:val="1"/>
          <w:numId w:val="12"/>
        </w:numPr>
        <w:rPr>
          <w:rFonts w:ascii="Arial" w:cs="Arial" w:eastAsia="Arial" w:hAnsi="Arial"/>
          <w:sz w:val="18"/>
          <w:szCs w:val="18"/>
          <w:color w:val="auto"/>
        </w:rPr>
      </w:pPr>
      <w:r>
        <w:rPr>
          <w:rFonts w:ascii="Arial" w:cs="Arial" w:eastAsia="Arial" w:hAnsi="Arial"/>
          <w:sz w:val="18"/>
          <w:szCs w:val="18"/>
          <w:color w:val="auto"/>
        </w:rPr>
        <w:t xml:space="preserve">Sole power to vote or to direct the vote – </w:t>
      </w:r>
      <w:r>
        <w:rPr>
          <w:rFonts w:ascii="Arial" w:cs="Arial" w:eastAsia="Arial" w:hAnsi="Arial"/>
          <w:sz w:val="18"/>
          <w:szCs w:val="18"/>
          <w:b w:val="1"/>
          <w:bCs w:val="1"/>
          <w:color w:val="auto"/>
        </w:rPr>
        <w:t>See the responses to Item 5 on the attached cover page.</w:t>
      </w:r>
    </w:p>
    <w:p>
      <w:pPr>
        <w:spacing w:after="0" w:line="134" w:lineRule="exact"/>
        <w:rPr>
          <w:rFonts w:ascii="Arial" w:cs="Arial" w:eastAsia="Arial" w:hAnsi="Arial"/>
          <w:sz w:val="18"/>
          <w:szCs w:val="18"/>
          <w:color w:val="auto"/>
        </w:rPr>
      </w:pPr>
    </w:p>
    <w:p>
      <w:pPr>
        <w:ind w:left="964" w:hanging="532"/>
        <w:spacing w:after="0"/>
        <w:tabs>
          <w:tab w:leader="none" w:pos="964" w:val="left"/>
        </w:tabs>
        <w:numPr>
          <w:ilvl w:val="1"/>
          <w:numId w:val="12"/>
        </w:numPr>
        <w:rPr>
          <w:rFonts w:ascii="Arial" w:cs="Arial" w:eastAsia="Arial" w:hAnsi="Arial"/>
          <w:sz w:val="18"/>
          <w:szCs w:val="18"/>
          <w:color w:val="auto"/>
        </w:rPr>
      </w:pPr>
      <w:r>
        <w:rPr>
          <w:rFonts w:ascii="Arial" w:cs="Arial" w:eastAsia="Arial" w:hAnsi="Arial"/>
          <w:sz w:val="18"/>
          <w:szCs w:val="18"/>
          <w:color w:val="auto"/>
        </w:rPr>
        <w:t>Shared power to vote or to direct the vote – 0</w:t>
      </w:r>
    </w:p>
    <w:p>
      <w:pPr>
        <w:spacing w:after="0" w:line="126" w:lineRule="exact"/>
        <w:rPr>
          <w:rFonts w:ascii="Arial" w:cs="Arial" w:eastAsia="Arial" w:hAnsi="Arial"/>
          <w:sz w:val="18"/>
          <w:szCs w:val="18"/>
          <w:color w:val="auto"/>
        </w:rPr>
      </w:pPr>
    </w:p>
    <w:p>
      <w:pPr>
        <w:ind w:left="964" w:hanging="532"/>
        <w:spacing w:after="0"/>
        <w:tabs>
          <w:tab w:leader="none" w:pos="964" w:val="left"/>
        </w:tabs>
        <w:numPr>
          <w:ilvl w:val="1"/>
          <w:numId w:val="12"/>
        </w:numPr>
        <w:rPr>
          <w:rFonts w:ascii="Arial" w:cs="Arial" w:eastAsia="Arial" w:hAnsi="Arial"/>
          <w:sz w:val="18"/>
          <w:szCs w:val="18"/>
          <w:color w:val="auto"/>
        </w:rPr>
      </w:pPr>
      <w:r>
        <w:rPr>
          <w:rFonts w:ascii="Arial" w:cs="Arial" w:eastAsia="Arial" w:hAnsi="Arial"/>
          <w:sz w:val="18"/>
          <w:szCs w:val="18"/>
          <w:color w:val="auto"/>
        </w:rPr>
        <w:t xml:space="preserve">Sole power to dispose or to direct the disposition of – </w:t>
      </w:r>
      <w:r>
        <w:rPr>
          <w:rFonts w:ascii="Arial" w:cs="Arial" w:eastAsia="Arial" w:hAnsi="Arial"/>
          <w:sz w:val="18"/>
          <w:szCs w:val="18"/>
          <w:b w:val="1"/>
          <w:bCs w:val="1"/>
          <w:color w:val="auto"/>
        </w:rPr>
        <w:t>See the responses to Item 7 on the attached cover page.</w:t>
      </w:r>
    </w:p>
    <w:p>
      <w:pPr>
        <w:spacing w:after="0" w:line="134" w:lineRule="exact"/>
        <w:rPr>
          <w:rFonts w:ascii="Arial" w:cs="Arial" w:eastAsia="Arial" w:hAnsi="Arial"/>
          <w:sz w:val="18"/>
          <w:szCs w:val="18"/>
          <w:color w:val="auto"/>
        </w:rPr>
      </w:pPr>
    </w:p>
    <w:p>
      <w:pPr>
        <w:ind w:left="964" w:hanging="532"/>
        <w:spacing w:after="0"/>
        <w:tabs>
          <w:tab w:leader="none" w:pos="964" w:val="left"/>
        </w:tabs>
        <w:numPr>
          <w:ilvl w:val="1"/>
          <w:numId w:val="12"/>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 0</w:t>
      </w:r>
    </w:p>
    <w:p>
      <w:pPr>
        <w:spacing w:after="0" w:line="370" w:lineRule="exact"/>
        <w:rPr>
          <w:sz w:val="20"/>
          <w:szCs w:val="20"/>
          <w:color w:val="auto"/>
        </w:rPr>
      </w:pPr>
    </w:p>
    <w:p>
      <w:pPr>
        <w:ind w:left="4"/>
        <w:spacing w:after="0"/>
        <w:tabs>
          <w:tab w:leader="none" w:pos="1064"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Ownership of Five Percent or Less of a Class.</w:t>
      </w:r>
    </w:p>
    <w:p>
      <w:pPr>
        <w:spacing w:after="0" w:line="121" w:lineRule="exact"/>
        <w:rPr>
          <w:sz w:val="20"/>
          <w:szCs w:val="20"/>
          <w:color w:val="auto"/>
        </w:rPr>
      </w:pPr>
    </w:p>
    <w:p>
      <w:pPr>
        <w:ind w:left="4" w:right="200" w:firstLine="440"/>
        <w:spacing w:after="0" w:line="233" w:lineRule="exact"/>
        <w:rPr>
          <w:sz w:val="20"/>
          <w:szCs w:val="20"/>
          <w:color w:val="auto"/>
        </w:rPr>
      </w:pPr>
      <w:r>
        <w:rPr>
          <w:rFonts w:ascii="Arial" w:cs="Arial" w:eastAsia="Arial" w:hAnsi="Arial"/>
          <w:sz w:val="18"/>
          <w:szCs w:val="18"/>
          <w:color w:val="auto"/>
        </w:rPr>
        <w:t xml:space="preserve">If this statement is being filed to report the fact that as of the date hereof the reporting person has ceased to be the beneficial owner of more than five percent of the class of securities, check the following </w:t>
      </w:r>
      <w:r>
        <w:rPr>
          <w:rFonts w:ascii="MS PGothic" w:cs="MS PGothic" w:eastAsia="MS PGothic" w:hAnsi="MS PGothic"/>
          <w:sz w:val="18"/>
          <w:szCs w:val="18"/>
          <w:color w:val="auto"/>
        </w:rPr>
        <w:t>☒</w:t>
      </w:r>
      <w:r>
        <w:rPr>
          <w:rFonts w:ascii="Arial" w:cs="Arial" w:eastAsia="Arial" w:hAnsi="Arial"/>
          <w:sz w:val="18"/>
          <w:szCs w:val="18"/>
          <w:color w:val="auto"/>
        </w:rPr>
        <w:t>.</w:t>
      </w:r>
    </w:p>
    <w:p>
      <w:pPr>
        <w:spacing w:after="0" w:line="327" w:lineRule="exact"/>
        <w:rPr>
          <w:sz w:val="20"/>
          <w:szCs w:val="20"/>
          <w:color w:val="auto"/>
        </w:rPr>
      </w:pPr>
    </w:p>
    <w:p>
      <w:pPr>
        <w:ind w:left="4"/>
        <w:spacing w:after="0"/>
        <w:tabs>
          <w:tab w:leader="none" w:pos="1064"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Ownership of More than Five Percent on Behalf of Another Person.</w:t>
      </w:r>
    </w:p>
    <w:p>
      <w:pPr>
        <w:spacing w:after="0" w:line="117"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Not Applicable</w:t>
      </w:r>
    </w:p>
    <w:p>
      <w:pPr>
        <w:spacing w:after="0" w:line="374" w:lineRule="exact"/>
        <w:rPr>
          <w:sz w:val="20"/>
          <w:szCs w:val="20"/>
          <w:color w:val="auto"/>
        </w:rPr>
      </w:pPr>
    </w:p>
    <w:p>
      <w:pPr>
        <w:ind w:left="1084" w:right="580" w:hanging="1092"/>
        <w:spacing w:after="0" w:line="282" w:lineRule="auto"/>
        <w:tabs>
          <w:tab w:leader="none" w:pos="1064"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8"/>
          <w:szCs w:val="18"/>
          <w:b w:val="1"/>
          <w:bCs w:val="1"/>
          <w:color w:val="auto"/>
        </w:rPr>
        <w:t>Identification and Classification of the Subsidiary Which Acquired the Security Being Reported on By the Parent Holding Company or Control Person.</w:t>
      </w:r>
    </w:p>
    <w:p>
      <w:pPr>
        <w:spacing w:after="0" w:line="54"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Not Applicable</w:t>
      </w:r>
    </w:p>
    <w:p>
      <w:pPr>
        <w:spacing w:after="0" w:line="374" w:lineRule="exact"/>
        <w:rPr>
          <w:sz w:val="20"/>
          <w:szCs w:val="20"/>
          <w:color w:val="auto"/>
        </w:rPr>
      </w:pPr>
    </w:p>
    <w:p>
      <w:pPr>
        <w:ind w:left="4"/>
        <w:spacing w:after="0"/>
        <w:tabs>
          <w:tab w:leader="none" w:pos="1064"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b w:val="1"/>
          <w:bCs w:val="1"/>
          <w:color w:val="auto"/>
        </w:rPr>
        <w:t>Identification and Classification of Members of the Group.</w:t>
      </w:r>
    </w:p>
    <w:p>
      <w:pPr>
        <w:spacing w:after="0" w:line="117"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Not Applicable</w:t>
      </w:r>
    </w:p>
    <w:p>
      <w:pPr>
        <w:spacing w:after="0" w:line="374" w:lineRule="exact"/>
        <w:rPr>
          <w:sz w:val="20"/>
          <w:szCs w:val="20"/>
          <w:color w:val="auto"/>
        </w:rPr>
      </w:pPr>
    </w:p>
    <w:p>
      <w:pPr>
        <w:ind w:left="4"/>
        <w:spacing w:after="0"/>
        <w:tabs>
          <w:tab w:leader="none" w:pos="1064"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6"/>
          <w:szCs w:val="16"/>
          <w:b w:val="1"/>
          <w:bCs w:val="1"/>
          <w:color w:val="auto"/>
        </w:rPr>
        <w:t>Notice of Dissolution of Group.</w:t>
      </w:r>
    </w:p>
    <w:p>
      <w:pPr>
        <w:spacing w:after="0" w:line="117"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Not Applicable</w:t>
      </w:r>
    </w:p>
    <w:p>
      <w:pPr>
        <w:spacing w:after="0" w:line="374" w:lineRule="exact"/>
        <w:rPr>
          <w:sz w:val="20"/>
          <w:szCs w:val="20"/>
          <w:color w:val="auto"/>
        </w:rPr>
      </w:pPr>
    </w:p>
    <w:p>
      <w:pPr>
        <w:ind w:left="4"/>
        <w:spacing w:after="0"/>
        <w:tabs>
          <w:tab w:leader="none" w:pos="1064"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6"/>
          <w:szCs w:val="16"/>
          <w:b w:val="1"/>
          <w:bCs w:val="1"/>
          <w:color w:val="auto"/>
        </w:rPr>
        <w:t>Certifications.</w:t>
      </w:r>
    </w:p>
    <w:p>
      <w:pPr>
        <w:spacing w:after="0" w:line="333"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Not Applicable</w:t>
      </w:r>
    </w:p>
    <w:p>
      <w:pPr>
        <w:sectPr>
          <w:pgSz w:w="11900" w:h="16838" w:orient="portrait"/>
          <w:cols w:equalWidth="0" w:num="1">
            <w:col w:w="11024"/>
          </w:cols>
          <w:pgMar w:left="436" w:top="274" w:right="439" w:bottom="1440" w:gutter="0" w:footer="0" w:header="0"/>
        </w:sectPr>
      </w:pPr>
    </w:p>
    <w:bookmarkStart w:id="4" w:name="page5"/>
    <w:bookmarkEnd w:id="4"/>
    <w:p>
      <w:pPr>
        <w:spacing w:after="0"/>
        <w:tabs>
          <w:tab w:leader="none" w:pos="5380" w:val="left"/>
          <w:tab w:leader="none" w:pos="97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CUSIP No. 9251 1W 108</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5 of 5 Pages</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right="120" w:firstLine="440"/>
        <w:spacing w:after="0" w:line="277" w:lineRule="auto"/>
        <w:rPr>
          <w:sz w:val="20"/>
          <w:szCs w:val="20"/>
          <w:color w:val="auto"/>
        </w:rPr>
      </w:pPr>
      <w:r>
        <w:rPr>
          <w:rFonts w:ascii="Arial" w:cs="Arial" w:eastAsia="Arial" w:hAnsi="Arial"/>
          <w:sz w:val="18"/>
          <w:szCs w:val="18"/>
          <w:color w:val="auto"/>
        </w:rPr>
        <w:t>After reasonable inquiry and to the best of my knowledge and belief, I certify that the information set forth in this statement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January 27, 2022</w:t>
      </w:r>
    </w:p>
    <w:p>
      <w:pPr>
        <w:spacing w:after="0" w:line="252"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/s/ Matt Davidson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4197985</wp:posOffset>
            </wp:positionH>
            <wp:positionV relativeFrom="paragraph">
              <wp:posOffset>14605</wp:posOffset>
            </wp:positionV>
            <wp:extent cx="279463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3"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Matt Davidson</w:t>
      </w:r>
    </w:p>
    <w:sectPr>
      <w:pgSz w:w="11900" w:h="16838" w:orient="portrait"/>
      <w:cols w:equalWidth="0" w:num="1">
        <w:col w:w="11020"/>
      </w:cols>
      <w:pgMar w:left="440" w:top="274"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
      <w:numFmt w:val="bullet"/>
      <w:start w:val="1"/>
    </w:lvl>
    <w:lvl w:ilvl="1">
      <w:lvlJc w:val="left"/>
      <w:lvlText w:val="☒"/>
      <w:numFmt w:val="bullet"/>
      <w:start w:val="1"/>
    </w:lvl>
  </w:abstractNum>
  <w:abstractNum w:abstractNumId="2">
    <w:nsid w:val="79E2A9E3"/>
    <w:multiLevelType w:val="hybridMultilevel"/>
    <w:lvl w:ilvl="0">
      <w:lvlJc w:val="left"/>
      <w:lvlText w:val="1"/>
      <w:numFmt w:val="bullet"/>
      <w:start w:val="1"/>
    </w:lvl>
  </w:abstractNum>
  <w:abstractNum w:abstractNumId="3">
    <w:nsid w:val="7545E146"/>
    <w:multiLevelType w:val="hybridMultilevel"/>
    <w:lvl w:ilvl="0">
      <w:lvlJc w:val="left"/>
      <w:lvlText w:val="2"/>
      <w:numFmt w:val="bullet"/>
      <w:start w:val="1"/>
    </w:lvl>
  </w:abstractNum>
  <w:abstractNum w:abstractNumId="4">
    <w:nsid w:val="515F007C"/>
    <w:multiLevelType w:val="hybridMultilevel"/>
    <w:lvl w:ilvl="0">
      <w:lvlJc w:val="left"/>
      <w:lvlText w:val="3"/>
      <w:numFmt w:val="bullet"/>
      <w:start w:val="1"/>
    </w:lvl>
  </w:abstractNum>
  <w:abstractNum w:abstractNumId="5">
    <w:nsid w:val="5BD062C2"/>
    <w:multiLevelType w:val="hybridMultilevel"/>
    <w:lvl w:ilvl="0">
      <w:lvlJc w:val="left"/>
      <w:lvlText w:val="4"/>
      <w:numFmt w:val="bullet"/>
      <w:start w:val="1"/>
    </w:lvl>
  </w:abstractNum>
  <w:abstractNum w:abstractNumId="6">
    <w:nsid w:val="12200854"/>
    <w:multiLevelType w:val="hybridMultilevel"/>
    <w:lvl w:ilvl="0">
      <w:lvlJc w:val="left"/>
      <w:lvlText w:val="9"/>
      <w:numFmt w:val="bullet"/>
      <w:start w:val="1"/>
    </w:lvl>
  </w:abstractNum>
  <w:abstractNum w:abstractNumId="7">
    <w:nsid w:val="4DB127F8"/>
    <w:multiLevelType w:val="hybridMultilevel"/>
    <w:lvl w:ilvl="0">
      <w:lvlJc w:val="left"/>
      <w:lvlText w:val="%1"/>
      <w:numFmt w:val="decimal"/>
      <w:start w:val="1"/>
    </w:lvl>
    <w:lvl w:ilvl="1">
      <w:lvlJc w:val="left"/>
      <w:lvlText w:val="%2"/>
      <w:numFmt w:val="decimal"/>
      <w:start w:val="10"/>
    </w:lvl>
  </w:abstractNum>
  <w:abstractNum w:abstractNumId="8">
    <w:nsid w:val="216231B"/>
    <w:multiLevelType w:val="hybridMultilevel"/>
    <w:lvl w:ilvl="0">
      <w:lvlJc w:val="left"/>
      <w:lvlText w:val="(%1)"/>
      <w:numFmt w:val="lowerLetter"/>
      <w:start w:val="1"/>
    </w:lvl>
  </w:abstractNum>
  <w:abstractNum w:abstractNumId="9">
    <w:nsid w:val="1F16E9E8"/>
    <w:multiLevelType w:val="hybridMultilevel"/>
    <w:lvl w:ilvl="0">
      <w:lvlJc w:val="left"/>
      <w:lvlText w:val="(%1)"/>
      <w:numFmt w:val="lowerLetter"/>
      <w:start w:val="1"/>
    </w:lvl>
  </w:abstractNum>
  <w:abstractNum w:abstractNumId="10">
    <w:nsid w:val="1190CDE7"/>
    <w:multiLevelType w:val="hybridMultilevel"/>
    <w:lvl w:ilvl="0">
      <w:lvlJc w:val="left"/>
      <w:lvlText w:val="(%1)"/>
      <w:numFmt w:val="lowerLetter"/>
      <w:start w:val="1"/>
    </w:lvl>
  </w:abstractNum>
  <w:abstractNum w:abstractNumId="11">
    <w:nsid w:val="66EF438D"/>
    <w:multiLevelType w:val="hybridMultilevel"/>
    <w:lvl w:ilvl="0">
      <w:lvlJc w:val="left"/>
      <w:lvlText w:val="(%1)"/>
      <w:numFmt w:val="lowerLetter"/>
      <w:start w:val="1"/>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2022-01-27T10:09:08Z</dcterms:created>
  <dcterms:modified xsi:type="dcterms:W3CDTF">2022-01-27T10:09:08Z</dcterms:modified>
</cp:coreProperties>
</file>