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94E0" w14:textId="77777777" w:rsidR="00D508C5" w:rsidRDefault="00111E45">
      <w:pPr>
        <w:ind w:right="-3"/>
        <w:jc w:val="center"/>
        <w:rPr>
          <w:sz w:val="20"/>
          <w:szCs w:val="20"/>
        </w:rPr>
      </w:pPr>
      <w:bookmarkStart w:id="0" w:name="page1"/>
      <w:bookmarkEnd w:id="0"/>
      <w:r>
        <w:rPr>
          <w:rFonts w:eastAsia="Times New Roman"/>
          <w:b/>
          <w:bCs/>
          <w:noProof/>
          <w:sz w:val="32"/>
          <w:szCs w:val="32"/>
        </w:rPr>
        <w:drawing>
          <wp:anchor distT="0" distB="0" distL="114300" distR="114300" simplePos="0" relativeHeight="251652096" behindDoc="1" locked="0" layoutInCell="0" allowOverlap="1" wp14:anchorId="11C60387" wp14:editId="74820E6F">
            <wp:simplePos x="0" y="0"/>
            <wp:positionH relativeFrom="page">
              <wp:posOffset>276860</wp:posOffset>
            </wp:positionH>
            <wp:positionV relativeFrom="page">
              <wp:posOffset>166370</wp:posOffset>
            </wp:positionV>
            <wp:extent cx="6995160"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95160" cy="8255"/>
                    </a:xfrm>
                    <a:prstGeom prst="rect">
                      <a:avLst/>
                    </a:prstGeom>
                    <a:noFill/>
                  </pic:spPr>
                </pic:pic>
              </a:graphicData>
            </a:graphic>
          </wp:anchor>
        </w:drawing>
      </w:r>
      <w:r>
        <w:rPr>
          <w:rFonts w:eastAsia="Times New Roman"/>
          <w:b/>
          <w:bCs/>
          <w:noProof/>
          <w:sz w:val="32"/>
          <w:szCs w:val="32"/>
        </w:rPr>
        <w:drawing>
          <wp:anchor distT="0" distB="0" distL="114300" distR="114300" simplePos="0" relativeHeight="251653120" behindDoc="1" locked="0" layoutInCell="0" allowOverlap="1" wp14:anchorId="3C70A199" wp14:editId="47F44C5D">
            <wp:simplePos x="0" y="0"/>
            <wp:positionH relativeFrom="page">
              <wp:posOffset>276860</wp:posOffset>
            </wp:positionH>
            <wp:positionV relativeFrom="page">
              <wp:posOffset>208915</wp:posOffset>
            </wp:positionV>
            <wp:extent cx="6995160" cy="8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995160" cy="8255"/>
                    </a:xfrm>
                    <a:prstGeom prst="rect">
                      <a:avLst/>
                    </a:prstGeom>
                    <a:noFill/>
                  </pic:spPr>
                </pic:pic>
              </a:graphicData>
            </a:graphic>
          </wp:anchor>
        </w:drawing>
      </w:r>
      <w:r>
        <w:rPr>
          <w:rFonts w:eastAsia="Times New Roman"/>
          <w:b/>
          <w:bCs/>
          <w:sz w:val="32"/>
          <w:szCs w:val="32"/>
        </w:rPr>
        <w:t>UNITED STATES</w:t>
      </w:r>
    </w:p>
    <w:p w14:paraId="533F49F6" w14:textId="77777777" w:rsidR="00D508C5" w:rsidRDefault="00D508C5">
      <w:pPr>
        <w:spacing w:line="37" w:lineRule="exact"/>
        <w:rPr>
          <w:sz w:val="24"/>
          <w:szCs w:val="24"/>
        </w:rPr>
      </w:pPr>
    </w:p>
    <w:p w14:paraId="3E05547C" w14:textId="77777777" w:rsidR="00D508C5" w:rsidRDefault="00111E45">
      <w:pPr>
        <w:ind w:right="-3"/>
        <w:jc w:val="center"/>
        <w:rPr>
          <w:sz w:val="20"/>
          <w:szCs w:val="20"/>
        </w:rPr>
      </w:pPr>
      <w:r>
        <w:rPr>
          <w:rFonts w:eastAsia="Times New Roman"/>
          <w:b/>
          <w:bCs/>
          <w:sz w:val="32"/>
          <w:szCs w:val="32"/>
        </w:rPr>
        <w:t>SECURITIES AND EXCHANGE COMMISSION</w:t>
      </w:r>
    </w:p>
    <w:p w14:paraId="6D86E506" w14:textId="77777777" w:rsidR="00D508C5" w:rsidRDefault="00111E45">
      <w:pPr>
        <w:ind w:right="-3"/>
        <w:jc w:val="center"/>
        <w:rPr>
          <w:sz w:val="20"/>
          <w:szCs w:val="20"/>
        </w:rPr>
      </w:pPr>
      <w:r>
        <w:rPr>
          <w:rFonts w:eastAsia="Times New Roman"/>
          <w:b/>
          <w:bCs/>
        </w:rPr>
        <w:t>Washington, D.C. 20549</w:t>
      </w:r>
    </w:p>
    <w:p w14:paraId="6B0CF80F" w14:textId="77777777" w:rsidR="00D508C5" w:rsidRDefault="00111E45">
      <w:pPr>
        <w:spacing w:line="20" w:lineRule="exact"/>
        <w:rPr>
          <w:sz w:val="24"/>
          <w:szCs w:val="24"/>
        </w:rPr>
      </w:pPr>
      <w:r>
        <w:rPr>
          <w:noProof/>
          <w:sz w:val="24"/>
          <w:szCs w:val="24"/>
        </w:rPr>
        <w:drawing>
          <wp:anchor distT="0" distB="0" distL="114300" distR="114300" simplePos="0" relativeHeight="251654144" behindDoc="1" locked="0" layoutInCell="0" allowOverlap="1" wp14:anchorId="02226734" wp14:editId="7CDDDA14">
            <wp:simplePos x="0" y="0"/>
            <wp:positionH relativeFrom="column">
              <wp:posOffset>2760345</wp:posOffset>
            </wp:positionH>
            <wp:positionV relativeFrom="paragraph">
              <wp:posOffset>218440</wp:posOffset>
            </wp:positionV>
            <wp:extent cx="1474470" cy="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6B955267" w14:textId="77777777" w:rsidR="00D508C5" w:rsidRDefault="00D508C5">
      <w:pPr>
        <w:spacing w:line="200" w:lineRule="exact"/>
        <w:rPr>
          <w:sz w:val="24"/>
          <w:szCs w:val="24"/>
        </w:rPr>
      </w:pPr>
    </w:p>
    <w:p w14:paraId="5A873C77" w14:textId="77777777" w:rsidR="00D508C5" w:rsidRDefault="00D508C5">
      <w:pPr>
        <w:spacing w:line="307" w:lineRule="exact"/>
        <w:rPr>
          <w:sz w:val="24"/>
          <w:szCs w:val="24"/>
        </w:rPr>
      </w:pPr>
    </w:p>
    <w:p w14:paraId="11279599" w14:textId="77777777" w:rsidR="00D508C5" w:rsidRDefault="00111E45">
      <w:pPr>
        <w:ind w:right="-3"/>
        <w:jc w:val="center"/>
        <w:rPr>
          <w:sz w:val="20"/>
          <w:szCs w:val="20"/>
        </w:rPr>
      </w:pPr>
      <w:r>
        <w:rPr>
          <w:rFonts w:eastAsia="Times New Roman"/>
          <w:b/>
          <w:bCs/>
          <w:sz w:val="32"/>
          <w:szCs w:val="32"/>
        </w:rPr>
        <w:t>FORM 8-K</w:t>
      </w:r>
    </w:p>
    <w:p w14:paraId="36A2C56E" w14:textId="77777777" w:rsidR="00D508C5" w:rsidRDefault="00111E45">
      <w:pPr>
        <w:spacing w:line="20" w:lineRule="exact"/>
        <w:rPr>
          <w:sz w:val="24"/>
          <w:szCs w:val="24"/>
        </w:rPr>
      </w:pPr>
      <w:r>
        <w:rPr>
          <w:noProof/>
          <w:sz w:val="24"/>
          <w:szCs w:val="24"/>
        </w:rPr>
        <w:drawing>
          <wp:anchor distT="0" distB="0" distL="114300" distR="114300" simplePos="0" relativeHeight="251655168" behindDoc="1" locked="0" layoutInCell="0" allowOverlap="1" wp14:anchorId="66042734" wp14:editId="4860E310">
            <wp:simplePos x="0" y="0"/>
            <wp:positionH relativeFrom="column">
              <wp:posOffset>2760345</wp:posOffset>
            </wp:positionH>
            <wp:positionV relativeFrom="paragraph">
              <wp:posOffset>250825</wp:posOffset>
            </wp:positionV>
            <wp:extent cx="1474470"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1D7CE54E" w14:textId="77777777" w:rsidR="00D508C5" w:rsidRDefault="00D508C5">
      <w:pPr>
        <w:spacing w:line="200" w:lineRule="exact"/>
        <w:rPr>
          <w:sz w:val="24"/>
          <w:szCs w:val="24"/>
        </w:rPr>
      </w:pPr>
    </w:p>
    <w:p w14:paraId="5B759ABB" w14:textId="77777777" w:rsidR="00D508C5" w:rsidRDefault="00D508C5">
      <w:pPr>
        <w:spacing w:line="373" w:lineRule="exact"/>
        <w:rPr>
          <w:sz w:val="24"/>
          <w:szCs w:val="24"/>
        </w:rPr>
      </w:pPr>
    </w:p>
    <w:p w14:paraId="49BDD704" w14:textId="77777777" w:rsidR="00D508C5" w:rsidRDefault="00111E45">
      <w:pPr>
        <w:ind w:right="-3"/>
        <w:jc w:val="center"/>
        <w:rPr>
          <w:sz w:val="20"/>
          <w:szCs w:val="20"/>
        </w:rPr>
      </w:pPr>
      <w:r>
        <w:rPr>
          <w:rFonts w:eastAsia="Times New Roman"/>
          <w:b/>
          <w:bCs/>
        </w:rPr>
        <w:t>CURRENT REPORT</w:t>
      </w:r>
    </w:p>
    <w:p w14:paraId="12EEA18D" w14:textId="77777777" w:rsidR="00D508C5" w:rsidRDefault="00D508C5">
      <w:pPr>
        <w:spacing w:line="8" w:lineRule="exact"/>
        <w:rPr>
          <w:sz w:val="24"/>
          <w:szCs w:val="24"/>
        </w:rPr>
      </w:pPr>
    </w:p>
    <w:p w14:paraId="67B863AE" w14:textId="77777777" w:rsidR="00D508C5" w:rsidRDefault="00111E45">
      <w:pPr>
        <w:ind w:right="-3"/>
        <w:jc w:val="center"/>
        <w:rPr>
          <w:sz w:val="20"/>
          <w:szCs w:val="20"/>
        </w:rPr>
      </w:pPr>
      <w:r>
        <w:rPr>
          <w:rFonts w:eastAsia="Times New Roman"/>
          <w:b/>
          <w:bCs/>
        </w:rPr>
        <w:t>Pursuant to Section 13 or 15(d)</w:t>
      </w:r>
    </w:p>
    <w:p w14:paraId="27D4F2AA" w14:textId="77777777" w:rsidR="00D508C5" w:rsidRDefault="00111E45">
      <w:pPr>
        <w:ind w:right="-3"/>
        <w:jc w:val="center"/>
        <w:rPr>
          <w:sz w:val="20"/>
          <w:szCs w:val="20"/>
        </w:rPr>
      </w:pPr>
      <w:r>
        <w:rPr>
          <w:rFonts w:eastAsia="Times New Roman"/>
          <w:b/>
          <w:bCs/>
        </w:rPr>
        <w:t>of the Securities Exchange Act of 1934</w:t>
      </w:r>
    </w:p>
    <w:p w14:paraId="2F6E1F2D" w14:textId="77777777" w:rsidR="00D508C5" w:rsidRDefault="00D508C5">
      <w:pPr>
        <w:spacing w:line="178" w:lineRule="exact"/>
        <w:rPr>
          <w:sz w:val="24"/>
          <w:szCs w:val="24"/>
        </w:rPr>
      </w:pPr>
    </w:p>
    <w:p w14:paraId="2EAEDCC3" w14:textId="77777777" w:rsidR="00D508C5" w:rsidRDefault="00111E45">
      <w:pPr>
        <w:ind w:right="-3"/>
        <w:jc w:val="center"/>
        <w:rPr>
          <w:sz w:val="20"/>
          <w:szCs w:val="20"/>
        </w:rPr>
      </w:pPr>
      <w:r>
        <w:rPr>
          <w:rFonts w:eastAsia="Times New Roman"/>
          <w:b/>
          <w:bCs/>
        </w:rPr>
        <w:t>Date of Report (Date of earliest event reported): July 13, 2022</w:t>
      </w:r>
    </w:p>
    <w:p w14:paraId="0557EF66" w14:textId="77777777" w:rsidR="00D508C5" w:rsidRDefault="00111E45">
      <w:pPr>
        <w:spacing w:line="20" w:lineRule="exact"/>
        <w:rPr>
          <w:sz w:val="24"/>
          <w:szCs w:val="24"/>
        </w:rPr>
      </w:pPr>
      <w:r>
        <w:rPr>
          <w:noProof/>
          <w:sz w:val="24"/>
          <w:szCs w:val="24"/>
        </w:rPr>
        <w:drawing>
          <wp:anchor distT="0" distB="0" distL="114300" distR="114300" simplePos="0" relativeHeight="251656192" behindDoc="1" locked="0" layoutInCell="0" allowOverlap="1" wp14:anchorId="47F3A93D" wp14:editId="69B06D7D">
            <wp:simplePos x="0" y="0"/>
            <wp:positionH relativeFrom="column">
              <wp:posOffset>2760345</wp:posOffset>
            </wp:positionH>
            <wp:positionV relativeFrom="paragraph">
              <wp:posOffset>245110</wp:posOffset>
            </wp:positionV>
            <wp:extent cx="1474470" cy="8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1987C545" w14:textId="77777777" w:rsidR="00D508C5" w:rsidRDefault="00D508C5">
      <w:pPr>
        <w:spacing w:line="200" w:lineRule="exact"/>
        <w:rPr>
          <w:sz w:val="24"/>
          <w:szCs w:val="24"/>
        </w:rPr>
      </w:pPr>
    </w:p>
    <w:p w14:paraId="08A797CD" w14:textId="77777777" w:rsidR="00D508C5" w:rsidRDefault="00D508C5">
      <w:pPr>
        <w:spacing w:line="344" w:lineRule="exact"/>
        <w:rPr>
          <w:sz w:val="24"/>
          <w:szCs w:val="24"/>
        </w:rPr>
      </w:pPr>
    </w:p>
    <w:p w14:paraId="20773BA3" w14:textId="77777777" w:rsidR="00D508C5" w:rsidRDefault="00111E45">
      <w:pPr>
        <w:ind w:right="-3"/>
        <w:jc w:val="center"/>
        <w:rPr>
          <w:sz w:val="20"/>
          <w:szCs w:val="20"/>
        </w:rPr>
      </w:pPr>
      <w:r>
        <w:rPr>
          <w:rFonts w:eastAsia="Times New Roman"/>
          <w:b/>
          <w:bCs/>
          <w:sz w:val="43"/>
          <w:szCs w:val="43"/>
        </w:rPr>
        <w:t>Verrica Pharmaceuticals Inc.</w:t>
      </w:r>
    </w:p>
    <w:p w14:paraId="19379D7B" w14:textId="77777777" w:rsidR="00D508C5" w:rsidRDefault="00D508C5">
      <w:pPr>
        <w:spacing w:line="58" w:lineRule="exact"/>
        <w:rPr>
          <w:sz w:val="24"/>
          <w:szCs w:val="24"/>
        </w:rPr>
      </w:pPr>
    </w:p>
    <w:p w14:paraId="05A1332E" w14:textId="77777777" w:rsidR="00D508C5" w:rsidRDefault="00111E45">
      <w:pPr>
        <w:ind w:right="-3"/>
        <w:jc w:val="center"/>
        <w:rPr>
          <w:sz w:val="20"/>
          <w:szCs w:val="20"/>
        </w:rPr>
      </w:pPr>
      <w:r>
        <w:rPr>
          <w:rFonts w:eastAsia="Times New Roman"/>
          <w:b/>
          <w:bCs/>
          <w:sz w:val="18"/>
          <w:szCs w:val="18"/>
        </w:rPr>
        <w:t>(Exact Name of Registrant as Specified in its Charter)</w:t>
      </w:r>
    </w:p>
    <w:p w14:paraId="143527BB" w14:textId="77777777" w:rsidR="00D508C5" w:rsidRDefault="00111E45">
      <w:pPr>
        <w:spacing w:line="20" w:lineRule="exact"/>
        <w:rPr>
          <w:sz w:val="24"/>
          <w:szCs w:val="24"/>
        </w:rPr>
      </w:pPr>
      <w:r>
        <w:rPr>
          <w:noProof/>
          <w:sz w:val="24"/>
          <w:szCs w:val="24"/>
        </w:rPr>
        <w:drawing>
          <wp:anchor distT="0" distB="0" distL="114300" distR="114300" simplePos="0" relativeHeight="251657216" behindDoc="1" locked="0" layoutInCell="0" allowOverlap="1" wp14:anchorId="30653691" wp14:editId="35EB3091">
            <wp:simplePos x="0" y="0"/>
            <wp:positionH relativeFrom="column">
              <wp:posOffset>2760345</wp:posOffset>
            </wp:positionH>
            <wp:positionV relativeFrom="paragraph">
              <wp:posOffset>227330</wp:posOffset>
            </wp:positionV>
            <wp:extent cx="1474470"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5641F75D" w14:textId="77777777" w:rsidR="00D508C5" w:rsidRDefault="00D508C5">
      <w:pPr>
        <w:spacing w:line="200" w:lineRule="exact"/>
        <w:rPr>
          <w:sz w:val="24"/>
          <w:szCs w:val="24"/>
        </w:rPr>
      </w:pPr>
    </w:p>
    <w:p w14:paraId="3BBBA119" w14:textId="77777777" w:rsidR="00D508C5" w:rsidRDefault="00D508C5">
      <w:pPr>
        <w:spacing w:line="200" w:lineRule="exact"/>
        <w:rPr>
          <w:sz w:val="24"/>
          <w:szCs w:val="24"/>
        </w:rPr>
      </w:pPr>
    </w:p>
    <w:p w14:paraId="28200EA8" w14:textId="77777777" w:rsidR="00D508C5" w:rsidRDefault="00D508C5">
      <w:pPr>
        <w:spacing w:line="213" w:lineRule="exact"/>
        <w:rPr>
          <w:sz w:val="24"/>
          <w:szCs w:val="24"/>
        </w:rPr>
      </w:pPr>
    </w:p>
    <w:tbl>
      <w:tblPr>
        <w:tblW w:w="0" w:type="auto"/>
        <w:tblInd w:w="1024" w:type="dxa"/>
        <w:tblLayout w:type="fixed"/>
        <w:tblCellMar>
          <w:left w:w="0" w:type="dxa"/>
          <w:right w:w="0" w:type="dxa"/>
        </w:tblCellMar>
        <w:tblLook w:val="04A0" w:firstRow="1" w:lastRow="0" w:firstColumn="1" w:lastColumn="0" w:noHBand="0" w:noVBand="1"/>
      </w:tblPr>
      <w:tblGrid>
        <w:gridCol w:w="3580"/>
        <w:gridCol w:w="2420"/>
        <w:gridCol w:w="2800"/>
      </w:tblGrid>
      <w:tr w:rsidR="00D508C5" w14:paraId="1BE68D94" w14:textId="77777777">
        <w:trPr>
          <w:trHeight w:val="214"/>
        </w:trPr>
        <w:tc>
          <w:tcPr>
            <w:tcW w:w="3580" w:type="dxa"/>
            <w:vAlign w:val="bottom"/>
          </w:tcPr>
          <w:p w14:paraId="70DEFCF3" w14:textId="77777777" w:rsidR="00D508C5" w:rsidRDefault="00111E45">
            <w:pPr>
              <w:ind w:right="1819"/>
              <w:jc w:val="center"/>
              <w:rPr>
                <w:sz w:val="20"/>
                <w:szCs w:val="20"/>
              </w:rPr>
            </w:pPr>
            <w:r>
              <w:rPr>
                <w:rFonts w:eastAsia="Times New Roman"/>
                <w:b/>
                <w:bCs/>
                <w:w w:val="98"/>
                <w:sz w:val="18"/>
                <w:szCs w:val="18"/>
              </w:rPr>
              <w:t>Delaware</w:t>
            </w:r>
          </w:p>
        </w:tc>
        <w:tc>
          <w:tcPr>
            <w:tcW w:w="2420" w:type="dxa"/>
            <w:vAlign w:val="bottom"/>
          </w:tcPr>
          <w:p w14:paraId="359ADFC7" w14:textId="77777777" w:rsidR="00D508C5" w:rsidRDefault="00111E45">
            <w:pPr>
              <w:ind w:left="620"/>
              <w:rPr>
                <w:sz w:val="20"/>
                <w:szCs w:val="20"/>
              </w:rPr>
            </w:pPr>
            <w:r>
              <w:rPr>
                <w:rFonts w:eastAsia="Times New Roman"/>
                <w:b/>
                <w:bCs/>
                <w:sz w:val="18"/>
                <w:szCs w:val="18"/>
              </w:rPr>
              <w:t>001-38529</w:t>
            </w:r>
          </w:p>
        </w:tc>
        <w:tc>
          <w:tcPr>
            <w:tcW w:w="2800" w:type="dxa"/>
            <w:vAlign w:val="bottom"/>
          </w:tcPr>
          <w:p w14:paraId="1187A58B" w14:textId="77777777" w:rsidR="00D508C5" w:rsidRDefault="00111E45">
            <w:pPr>
              <w:ind w:left="1581"/>
              <w:jc w:val="center"/>
              <w:rPr>
                <w:sz w:val="20"/>
                <w:szCs w:val="20"/>
              </w:rPr>
            </w:pPr>
            <w:r>
              <w:rPr>
                <w:rFonts w:eastAsia="Times New Roman"/>
                <w:b/>
                <w:bCs/>
                <w:w w:val="98"/>
                <w:sz w:val="18"/>
                <w:szCs w:val="18"/>
              </w:rPr>
              <w:t>46-3137900</w:t>
            </w:r>
          </w:p>
        </w:tc>
      </w:tr>
      <w:tr w:rsidR="00D508C5" w14:paraId="34909B88" w14:textId="77777777">
        <w:trPr>
          <w:trHeight w:val="149"/>
        </w:trPr>
        <w:tc>
          <w:tcPr>
            <w:tcW w:w="3580" w:type="dxa"/>
            <w:vAlign w:val="bottom"/>
          </w:tcPr>
          <w:p w14:paraId="76D23690" w14:textId="77777777" w:rsidR="00D508C5" w:rsidRDefault="00111E45">
            <w:pPr>
              <w:spacing w:line="149" w:lineRule="exact"/>
              <w:ind w:right="1799"/>
              <w:jc w:val="center"/>
              <w:rPr>
                <w:sz w:val="20"/>
                <w:szCs w:val="20"/>
              </w:rPr>
            </w:pPr>
            <w:r>
              <w:rPr>
                <w:rFonts w:eastAsia="Times New Roman"/>
                <w:b/>
                <w:bCs/>
                <w:sz w:val="14"/>
                <w:szCs w:val="14"/>
              </w:rPr>
              <w:t>(State or Other Jurisdiction</w:t>
            </w:r>
          </w:p>
        </w:tc>
        <w:tc>
          <w:tcPr>
            <w:tcW w:w="2420" w:type="dxa"/>
            <w:vAlign w:val="bottom"/>
          </w:tcPr>
          <w:p w14:paraId="79841D4F" w14:textId="77777777" w:rsidR="00D508C5" w:rsidRDefault="00111E45">
            <w:pPr>
              <w:spacing w:line="149" w:lineRule="exact"/>
              <w:ind w:left="620"/>
              <w:rPr>
                <w:sz w:val="20"/>
                <w:szCs w:val="20"/>
              </w:rPr>
            </w:pPr>
            <w:r>
              <w:rPr>
                <w:rFonts w:eastAsia="Times New Roman"/>
                <w:b/>
                <w:bCs/>
                <w:sz w:val="14"/>
                <w:szCs w:val="14"/>
              </w:rPr>
              <w:t>(Commission</w:t>
            </w:r>
          </w:p>
        </w:tc>
        <w:tc>
          <w:tcPr>
            <w:tcW w:w="2800" w:type="dxa"/>
            <w:vAlign w:val="bottom"/>
          </w:tcPr>
          <w:p w14:paraId="5C654839" w14:textId="77777777" w:rsidR="00D508C5" w:rsidRDefault="00111E45">
            <w:pPr>
              <w:spacing w:line="149" w:lineRule="exact"/>
              <w:ind w:left="1581"/>
              <w:jc w:val="center"/>
              <w:rPr>
                <w:sz w:val="20"/>
                <w:szCs w:val="20"/>
              </w:rPr>
            </w:pPr>
            <w:r>
              <w:rPr>
                <w:rFonts w:eastAsia="Times New Roman"/>
                <w:b/>
                <w:bCs/>
                <w:sz w:val="14"/>
                <w:szCs w:val="14"/>
              </w:rPr>
              <w:t>(IRS Employer</w:t>
            </w:r>
          </w:p>
        </w:tc>
      </w:tr>
      <w:tr w:rsidR="00D508C5" w14:paraId="580BA2CB" w14:textId="77777777">
        <w:trPr>
          <w:trHeight w:val="190"/>
        </w:trPr>
        <w:tc>
          <w:tcPr>
            <w:tcW w:w="3580" w:type="dxa"/>
            <w:vAlign w:val="bottom"/>
          </w:tcPr>
          <w:p w14:paraId="2AAB8EAB" w14:textId="77777777" w:rsidR="00D508C5" w:rsidRDefault="00111E45">
            <w:pPr>
              <w:ind w:right="1799"/>
              <w:jc w:val="center"/>
              <w:rPr>
                <w:sz w:val="20"/>
                <w:szCs w:val="20"/>
              </w:rPr>
            </w:pPr>
            <w:r>
              <w:rPr>
                <w:rFonts w:eastAsia="Times New Roman"/>
                <w:b/>
                <w:bCs/>
                <w:sz w:val="14"/>
                <w:szCs w:val="14"/>
              </w:rPr>
              <w:t>of Incorporation)</w:t>
            </w:r>
          </w:p>
        </w:tc>
        <w:tc>
          <w:tcPr>
            <w:tcW w:w="2420" w:type="dxa"/>
            <w:vAlign w:val="bottom"/>
          </w:tcPr>
          <w:p w14:paraId="128CFCEE" w14:textId="77777777" w:rsidR="00D508C5" w:rsidRDefault="00111E45">
            <w:pPr>
              <w:ind w:left="600"/>
              <w:rPr>
                <w:sz w:val="20"/>
                <w:szCs w:val="20"/>
              </w:rPr>
            </w:pPr>
            <w:r>
              <w:rPr>
                <w:rFonts w:eastAsia="Times New Roman"/>
                <w:b/>
                <w:bCs/>
                <w:sz w:val="14"/>
                <w:szCs w:val="14"/>
              </w:rPr>
              <w:t>File Number)</w:t>
            </w:r>
          </w:p>
        </w:tc>
        <w:tc>
          <w:tcPr>
            <w:tcW w:w="2800" w:type="dxa"/>
            <w:vAlign w:val="bottom"/>
          </w:tcPr>
          <w:p w14:paraId="45D002E3" w14:textId="77777777" w:rsidR="00D508C5" w:rsidRDefault="00111E45">
            <w:pPr>
              <w:ind w:left="1581"/>
              <w:jc w:val="center"/>
              <w:rPr>
                <w:sz w:val="20"/>
                <w:szCs w:val="20"/>
              </w:rPr>
            </w:pPr>
            <w:r>
              <w:rPr>
                <w:rFonts w:eastAsia="Times New Roman"/>
                <w:b/>
                <w:bCs/>
                <w:sz w:val="14"/>
                <w:szCs w:val="14"/>
              </w:rPr>
              <w:t>Identification No.)</w:t>
            </w:r>
          </w:p>
        </w:tc>
      </w:tr>
      <w:tr w:rsidR="00D508C5" w14:paraId="4CC8D009" w14:textId="77777777">
        <w:trPr>
          <w:trHeight w:val="433"/>
        </w:trPr>
        <w:tc>
          <w:tcPr>
            <w:tcW w:w="3580" w:type="dxa"/>
            <w:vAlign w:val="bottom"/>
          </w:tcPr>
          <w:p w14:paraId="517127E7" w14:textId="77777777" w:rsidR="00D508C5" w:rsidRDefault="00111E45">
            <w:pPr>
              <w:jc w:val="center"/>
              <w:rPr>
                <w:sz w:val="20"/>
                <w:szCs w:val="20"/>
              </w:rPr>
            </w:pPr>
            <w:r>
              <w:rPr>
                <w:rFonts w:eastAsia="Times New Roman"/>
                <w:b/>
                <w:bCs/>
                <w:w w:val="98"/>
                <w:sz w:val="18"/>
                <w:szCs w:val="18"/>
              </w:rPr>
              <w:t>44 W. Gay St., Suite</w:t>
            </w:r>
          </w:p>
        </w:tc>
        <w:tc>
          <w:tcPr>
            <w:tcW w:w="2420" w:type="dxa"/>
            <w:vAlign w:val="bottom"/>
          </w:tcPr>
          <w:p w14:paraId="7D14A0CE" w14:textId="77777777" w:rsidR="00D508C5" w:rsidRDefault="00D508C5">
            <w:pPr>
              <w:rPr>
                <w:sz w:val="24"/>
                <w:szCs w:val="24"/>
              </w:rPr>
            </w:pPr>
          </w:p>
        </w:tc>
        <w:tc>
          <w:tcPr>
            <w:tcW w:w="2800" w:type="dxa"/>
            <w:vAlign w:val="bottom"/>
          </w:tcPr>
          <w:p w14:paraId="1B6A0183" w14:textId="77777777" w:rsidR="00D508C5" w:rsidRDefault="00D508C5">
            <w:pPr>
              <w:rPr>
                <w:sz w:val="24"/>
                <w:szCs w:val="24"/>
              </w:rPr>
            </w:pPr>
          </w:p>
        </w:tc>
      </w:tr>
      <w:tr w:rsidR="00D508C5" w14:paraId="4DC3092D" w14:textId="77777777">
        <w:trPr>
          <w:trHeight w:val="227"/>
        </w:trPr>
        <w:tc>
          <w:tcPr>
            <w:tcW w:w="3580" w:type="dxa"/>
            <w:vAlign w:val="bottom"/>
          </w:tcPr>
          <w:p w14:paraId="4EE1D41E" w14:textId="77777777" w:rsidR="00D508C5" w:rsidRDefault="00111E45">
            <w:pPr>
              <w:jc w:val="center"/>
              <w:rPr>
                <w:sz w:val="20"/>
                <w:szCs w:val="20"/>
              </w:rPr>
            </w:pPr>
            <w:r>
              <w:rPr>
                <w:rFonts w:eastAsia="Times New Roman"/>
                <w:b/>
                <w:bCs/>
                <w:w w:val="97"/>
                <w:sz w:val="18"/>
                <w:szCs w:val="18"/>
              </w:rPr>
              <w:t>400 West Chester, PA</w:t>
            </w:r>
          </w:p>
        </w:tc>
        <w:tc>
          <w:tcPr>
            <w:tcW w:w="2420" w:type="dxa"/>
            <w:vAlign w:val="bottom"/>
          </w:tcPr>
          <w:p w14:paraId="48935D7D" w14:textId="77777777" w:rsidR="00D508C5" w:rsidRDefault="00D508C5">
            <w:pPr>
              <w:rPr>
                <w:sz w:val="19"/>
                <w:szCs w:val="19"/>
              </w:rPr>
            </w:pPr>
          </w:p>
        </w:tc>
        <w:tc>
          <w:tcPr>
            <w:tcW w:w="2800" w:type="dxa"/>
            <w:vAlign w:val="bottom"/>
          </w:tcPr>
          <w:p w14:paraId="58764F0A" w14:textId="77777777" w:rsidR="00D508C5" w:rsidRDefault="00111E45">
            <w:pPr>
              <w:ind w:right="1181"/>
              <w:jc w:val="right"/>
              <w:rPr>
                <w:sz w:val="20"/>
                <w:szCs w:val="20"/>
              </w:rPr>
            </w:pPr>
            <w:r>
              <w:rPr>
                <w:rFonts w:eastAsia="Times New Roman"/>
                <w:b/>
                <w:bCs/>
                <w:sz w:val="18"/>
                <w:szCs w:val="18"/>
              </w:rPr>
              <w:t>19380</w:t>
            </w:r>
          </w:p>
        </w:tc>
      </w:tr>
      <w:tr w:rsidR="00D508C5" w14:paraId="16912840" w14:textId="77777777">
        <w:trPr>
          <w:trHeight w:val="190"/>
        </w:trPr>
        <w:tc>
          <w:tcPr>
            <w:tcW w:w="3580" w:type="dxa"/>
            <w:vAlign w:val="bottom"/>
          </w:tcPr>
          <w:p w14:paraId="4E43D552" w14:textId="77777777" w:rsidR="00D508C5" w:rsidRDefault="00111E45">
            <w:pPr>
              <w:jc w:val="center"/>
              <w:rPr>
                <w:sz w:val="20"/>
                <w:szCs w:val="20"/>
              </w:rPr>
            </w:pPr>
            <w:r>
              <w:rPr>
                <w:rFonts w:eastAsia="Times New Roman"/>
                <w:b/>
                <w:bCs/>
                <w:sz w:val="14"/>
                <w:szCs w:val="14"/>
              </w:rPr>
              <w:t>(Address of Principal Executive Offices)</w:t>
            </w:r>
          </w:p>
        </w:tc>
        <w:tc>
          <w:tcPr>
            <w:tcW w:w="2420" w:type="dxa"/>
            <w:vAlign w:val="bottom"/>
          </w:tcPr>
          <w:p w14:paraId="1B5B79B1" w14:textId="77777777" w:rsidR="00D508C5" w:rsidRDefault="00D508C5">
            <w:pPr>
              <w:rPr>
                <w:sz w:val="16"/>
                <w:szCs w:val="16"/>
              </w:rPr>
            </w:pPr>
          </w:p>
        </w:tc>
        <w:tc>
          <w:tcPr>
            <w:tcW w:w="2800" w:type="dxa"/>
            <w:vAlign w:val="bottom"/>
          </w:tcPr>
          <w:p w14:paraId="1F58390B" w14:textId="77777777" w:rsidR="00D508C5" w:rsidRDefault="00111E45">
            <w:pPr>
              <w:ind w:right="81"/>
              <w:jc w:val="center"/>
              <w:rPr>
                <w:sz w:val="20"/>
                <w:szCs w:val="20"/>
              </w:rPr>
            </w:pPr>
            <w:r>
              <w:rPr>
                <w:rFonts w:eastAsia="Times New Roman"/>
                <w:b/>
                <w:bCs/>
                <w:sz w:val="14"/>
                <w:szCs w:val="14"/>
              </w:rPr>
              <w:t>(Zip Code)</w:t>
            </w:r>
          </w:p>
        </w:tc>
      </w:tr>
    </w:tbl>
    <w:p w14:paraId="59C1DD24" w14:textId="77777777" w:rsidR="00D508C5" w:rsidRDefault="00D508C5">
      <w:pPr>
        <w:spacing w:line="177" w:lineRule="exact"/>
        <w:rPr>
          <w:sz w:val="24"/>
          <w:szCs w:val="24"/>
        </w:rPr>
      </w:pPr>
    </w:p>
    <w:p w14:paraId="7D4D8943" w14:textId="77777777" w:rsidR="00D508C5" w:rsidRDefault="00111E45">
      <w:pPr>
        <w:ind w:right="-3"/>
        <w:jc w:val="center"/>
        <w:rPr>
          <w:sz w:val="20"/>
          <w:szCs w:val="20"/>
        </w:rPr>
      </w:pPr>
      <w:r>
        <w:rPr>
          <w:rFonts w:eastAsia="Times New Roman"/>
          <w:b/>
          <w:bCs/>
          <w:sz w:val="18"/>
          <w:szCs w:val="18"/>
        </w:rPr>
        <w:t>Registrant’s telephone number, including area code: (484) 453-3300</w:t>
      </w:r>
    </w:p>
    <w:p w14:paraId="2297D1B8" w14:textId="77777777" w:rsidR="00D508C5" w:rsidRDefault="00111E45">
      <w:pPr>
        <w:spacing w:line="20" w:lineRule="exact"/>
        <w:rPr>
          <w:sz w:val="24"/>
          <w:szCs w:val="24"/>
        </w:rPr>
      </w:pPr>
      <w:r>
        <w:rPr>
          <w:noProof/>
          <w:sz w:val="24"/>
          <w:szCs w:val="24"/>
        </w:rPr>
        <w:drawing>
          <wp:anchor distT="0" distB="0" distL="114300" distR="114300" simplePos="0" relativeHeight="251658240" behindDoc="1" locked="0" layoutInCell="0" allowOverlap="1" wp14:anchorId="1AB306FD" wp14:editId="611FE95B">
            <wp:simplePos x="0" y="0"/>
            <wp:positionH relativeFrom="column">
              <wp:posOffset>2760345</wp:posOffset>
            </wp:positionH>
            <wp:positionV relativeFrom="paragraph">
              <wp:posOffset>242570</wp:posOffset>
            </wp:positionV>
            <wp:extent cx="1474470"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3555356B" w14:textId="77777777" w:rsidR="00D508C5" w:rsidRDefault="00D508C5">
      <w:pPr>
        <w:spacing w:line="200" w:lineRule="exact"/>
        <w:rPr>
          <w:sz w:val="24"/>
          <w:szCs w:val="24"/>
        </w:rPr>
      </w:pPr>
    </w:p>
    <w:p w14:paraId="20EF1ED8" w14:textId="77777777" w:rsidR="00D508C5" w:rsidRDefault="00D508C5">
      <w:pPr>
        <w:spacing w:line="374" w:lineRule="exact"/>
        <w:rPr>
          <w:sz w:val="24"/>
          <w:szCs w:val="24"/>
        </w:rPr>
      </w:pPr>
    </w:p>
    <w:p w14:paraId="107EF733" w14:textId="77777777" w:rsidR="00D508C5" w:rsidRDefault="00111E45">
      <w:pPr>
        <w:spacing w:line="282" w:lineRule="auto"/>
        <w:ind w:left="4" w:right="480"/>
        <w:rPr>
          <w:sz w:val="20"/>
          <w:szCs w:val="20"/>
        </w:rPr>
      </w:pPr>
      <w:r>
        <w:rPr>
          <w:rFonts w:eastAsia="Times New Roman"/>
          <w:sz w:val="18"/>
          <w:szCs w:val="18"/>
        </w:rPr>
        <w:t xml:space="preserve">Check the appropriate box below if the Form 8-K filing is intended to simultaneously satisfy the </w:t>
      </w:r>
      <w:r>
        <w:rPr>
          <w:rFonts w:eastAsia="Times New Roman"/>
          <w:sz w:val="18"/>
          <w:szCs w:val="18"/>
        </w:rPr>
        <w:t>filing obligation of the registrant under any of the following provisions:</w:t>
      </w:r>
    </w:p>
    <w:p w14:paraId="71DE11E0" w14:textId="77777777" w:rsidR="00D508C5" w:rsidRDefault="00D508C5">
      <w:pPr>
        <w:spacing w:line="67" w:lineRule="exact"/>
        <w:rPr>
          <w:sz w:val="24"/>
          <w:szCs w:val="24"/>
        </w:rPr>
      </w:pPr>
    </w:p>
    <w:p w14:paraId="6F60C0F9" w14:textId="77777777" w:rsidR="00D508C5" w:rsidRDefault="00111E45">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Written communications pursuant to Rule 425 under the Securities Act (17 CFR 230.425)</w:t>
      </w:r>
    </w:p>
    <w:p w14:paraId="6DD8015F" w14:textId="77777777" w:rsidR="00D508C5" w:rsidRDefault="00D508C5">
      <w:pPr>
        <w:spacing w:line="130" w:lineRule="exact"/>
        <w:rPr>
          <w:rFonts w:ascii="MS PGothic" w:eastAsia="MS PGothic" w:hAnsi="MS PGothic" w:cs="MS PGothic"/>
          <w:sz w:val="18"/>
          <w:szCs w:val="18"/>
        </w:rPr>
      </w:pPr>
    </w:p>
    <w:p w14:paraId="12B98F87" w14:textId="77777777" w:rsidR="00D508C5" w:rsidRDefault="00111E45">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 xml:space="preserve">Soliciting material pursuant to Rule 14a-12 under the Exchange Act (17 CFR </w:t>
      </w:r>
      <w:r>
        <w:rPr>
          <w:rFonts w:eastAsia="Times New Roman"/>
          <w:sz w:val="18"/>
          <w:szCs w:val="18"/>
        </w:rPr>
        <w:t>240.14a-12)</w:t>
      </w:r>
    </w:p>
    <w:p w14:paraId="73C3E4D0" w14:textId="77777777" w:rsidR="00D508C5" w:rsidRDefault="00D508C5">
      <w:pPr>
        <w:spacing w:line="130" w:lineRule="exact"/>
        <w:rPr>
          <w:rFonts w:ascii="MS PGothic" w:eastAsia="MS PGothic" w:hAnsi="MS PGothic" w:cs="MS PGothic"/>
          <w:sz w:val="18"/>
          <w:szCs w:val="18"/>
        </w:rPr>
      </w:pPr>
    </w:p>
    <w:p w14:paraId="3D2DF74C" w14:textId="77777777" w:rsidR="00D508C5" w:rsidRDefault="00111E45">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Pre-commencement communications pursuant to Rule 14d-2(b) under the Exchange Act (17 CFR 240.14d-2(b))</w:t>
      </w:r>
    </w:p>
    <w:p w14:paraId="277502A4" w14:textId="77777777" w:rsidR="00D508C5" w:rsidRDefault="00D508C5">
      <w:pPr>
        <w:spacing w:line="130" w:lineRule="exact"/>
        <w:rPr>
          <w:rFonts w:ascii="MS PGothic" w:eastAsia="MS PGothic" w:hAnsi="MS PGothic" w:cs="MS PGothic"/>
          <w:sz w:val="18"/>
          <w:szCs w:val="18"/>
        </w:rPr>
      </w:pPr>
    </w:p>
    <w:p w14:paraId="4EF313DC" w14:textId="77777777" w:rsidR="00D508C5" w:rsidRDefault="00111E45">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Pre-commencement communications pursuant to Rule 13e-4(c) under the Exchange Act (17 CFR 240.13e-4(c))</w:t>
      </w:r>
    </w:p>
    <w:p w14:paraId="5E4DC74C" w14:textId="77777777" w:rsidR="00D508C5" w:rsidRDefault="00D508C5">
      <w:pPr>
        <w:spacing w:line="225" w:lineRule="exact"/>
        <w:rPr>
          <w:sz w:val="24"/>
          <w:szCs w:val="24"/>
        </w:rPr>
      </w:pPr>
    </w:p>
    <w:p w14:paraId="68E3896C" w14:textId="77777777" w:rsidR="00D508C5" w:rsidRDefault="00111E45">
      <w:pPr>
        <w:ind w:left="4"/>
        <w:rPr>
          <w:sz w:val="20"/>
          <w:szCs w:val="20"/>
        </w:rPr>
      </w:pPr>
      <w:r>
        <w:rPr>
          <w:rFonts w:eastAsia="Times New Roman"/>
          <w:sz w:val="18"/>
          <w:szCs w:val="18"/>
        </w:rPr>
        <w:t xml:space="preserve">Securities registered </w:t>
      </w:r>
      <w:r>
        <w:rPr>
          <w:rFonts w:eastAsia="Times New Roman"/>
          <w:sz w:val="18"/>
          <w:szCs w:val="18"/>
        </w:rPr>
        <w:t>pursuant to Section 12(b) of the Securities Exchange Act of 1934:</w:t>
      </w:r>
    </w:p>
    <w:p w14:paraId="7C1BD3C4" w14:textId="77777777" w:rsidR="00D508C5" w:rsidRDefault="00D508C5">
      <w:pPr>
        <w:spacing w:line="233" w:lineRule="exact"/>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3740"/>
        <w:gridCol w:w="120"/>
        <w:gridCol w:w="3520"/>
        <w:gridCol w:w="100"/>
        <w:gridCol w:w="3540"/>
        <w:gridCol w:w="20"/>
      </w:tblGrid>
      <w:tr w:rsidR="00D508C5" w14:paraId="174E2DE4" w14:textId="77777777">
        <w:trPr>
          <w:trHeight w:val="161"/>
        </w:trPr>
        <w:tc>
          <w:tcPr>
            <w:tcW w:w="3860" w:type="dxa"/>
            <w:gridSpan w:val="2"/>
            <w:vMerge w:val="restart"/>
            <w:vAlign w:val="bottom"/>
          </w:tcPr>
          <w:p w14:paraId="5297F6BF" w14:textId="77777777" w:rsidR="00D508C5" w:rsidRDefault="00111E45">
            <w:pPr>
              <w:ind w:right="140"/>
              <w:jc w:val="center"/>
              <w:rPr>
                <w:sz w:val="20"/>
                <w:szCs w:val="20"/>
              </w:rPr>
            </w:pPr>
            <w:r>
              <w:rPr>
                <w:rFonts w:eastAsia="Times New Roman"/>
                <w:b/>
                <w:bCs/>
                <w:sz w:val="14"/>
                <w:szCs w:val="14"/>
              </w:rPr>
              <w:t>Title of each class</w:t>
            </w:r>
          </w:p>
        </w:tc>
        <w:tc>
          <w:tcPr>
            <w:tcW w:w="3620" w:type="dxa"/>
            <w:gridSpan w:val="2"/>
            <w:vAlign w:val="bottom"/>
          </w:tcPr>
          <w:p w14:paraId="2AE1D0A2" w14:textId="77777777" w:rsidR="00D508C5" w:rsidRDefault="00111E45">
            <w:pPr>
              <w:ind w:left="1520"/>
              <w:rPr>
                <w:sz w:val="20"/>
                <w:szCs w:val="20"/>
              </w:rPr>
            </w:pPr>
            <w:r>
              <w:rPr>
                <w:rFonts w:eastAsia="Times New Roman"/>
                <w:b/>
                <w:bCs/>
                <w:sz w:val="14"/>
                <w:szCs w:val="14"/>
              </w:rPr>
              <w:t>Trading</w:t>
            </w:r>
          </w:p>
        </w:tc>
        <w:tc>
          <w:tcPr>
            <w:tcW w:w="3540" w:type="dxa"/>
            <w:vAlign w:val="bottom"/>
          </w:tcPr>
          <w:p w14:paraId="340DA920" w14:textId="77777777" w:rsidR="00D508C5" w:rsidRDefault="00111E45">
            <w:pPr>
              <w:jc w:val="center"/>
              <w:rPr>
                <w:sz w:val="20"/>
                <w:szCs w:val="20"/>
              </w:rPr>
            </w:pPr>
            <w:r>
              <w:rPr>
                <w:rFonts w:eastAsia="Times New Roman"/>
                <w:b/>
                <w:bCs/>
                <w:sz w:val="14"/>
                <w:szCs w:val="14"/>
              </w:rPr>
              <w:t>Name of each exchange</w:t>
            </w:r>
          </w:p>
        </w:tc>
        <w:tc>
          <w:tcPr>
            <w:tcW w:w="0" w:type="dxa"/>
            <w:vAlign w:val="bottom"/>
          </w:tcPr>
          <w:p w14:paraId="0B1DF50A" w14:textId="77777777" w:rsidR="00D508C5" w:rsidRDefault="00D508C5">
            <w:pPr>
              <w:rPr>
                <w:sz w:val="1"/>
                <w:szCs w:val="1"/>
              </w:rPr>
            </w:pPr>
          </w:p>
        </w:tc>
      </w:tr>
      <w:tr w:rsidR="00D508C5" w14:paraId="6CE711B1" w14:textId="77777777">
        <w:trPr>
          <w:trHeight w:val="187"/>
        </w:trPr>
        <w:tc>
          <w:tcPr>
            <w:tcW w:w="3860" w:type="dxa"/>
            <w:gridSpan w:val="2"/>
            <w:vMerge/>
            <w:vAlign w:val="bottom"/>
          </w:tcPr>
          <w:p w14:paraId="2D435294" w14:textId="77777777" w:rsidR="00D508C5" w:rsidRDefault="00D508C5">
            <w:pPr>
              <w:rPr>
                <w:sz w:val="16"/>
                <w:szCs w:val="16"/>
              </w:rPr>
            </w:pPr>
          </w:p>
        </w:tc>
        <w:tc>
          <w:tcPr>
            <w:tcW w:w="3620" w:type="dxa"/>
            <w:gridSpan w:val="2"/>
            <w:vAlign w:val="bottom"/>
          </w:tcPr>
          <w:p w14:paraId="0AC3CDF0" w14:textId="77777777" w:rsidR="00D508C5" w:rsidRDefault="00111E45">
            <w:pPr>
              <w:ind w:left="1540"/>
              <w:rPr>
                <w:sz w:val="20"/>
                <w:szCs w:val="20"/>
              </w:rPr>
            </w:pPr>
            <w:r>
              <w:rPr>
                <w:rFonts w:eastAsia="Times New Roman"/>
                <w:b/>
                <w:bCs/>
                <w:sz w:val="14"/>
                <w:szCs w:val="14"/>
              </w:rPr>
              <w:t>symbol</w:t>
            </w:r>
          </w:p>
        </w:tc>
        <w:tc>
          <w:tcPr>
            <w:tcW w:w="3540" w:type="dxa"/>
            <w:vAlign w:val="bottom"/>
          </w:tcPr>
          <w:p w14:paraId="14C01F52" w14:textId="77777777" w:rsidR="00D508C5" w:rsidRDefault="00111E45">
            <w:pPr>
              <w:jc w:val="center"/>
              <w:rPr>
                <w:sz w:val="20"/>
                <w:szCs w:val="20"/>
              </w:rPr>
            </w:pPr>
            <w:r>
              <w:rPr>
                <w:rFonts w:eastAsia="Times New Roman"/>
                <w:b/>
                <w:bCs/>
                <w:sz w:val="14"/>
                <w:szCs w:val="14"/>
              </w:rPr>
              <w:t>on which registered</w:t>
            </w:r>
          </w:p>
        </w:tc>
        <w:tc>
          <w:tcPr>
            <w:tcW w:w="0" w:type="dxa"/>
            <w:vAlign w:val="bottom"/>
          </w:tcPr>
          <w:p w14:paraId="297E49EF" w14:textId="77777777" w:rsidR="00D508C5" w:rsidRDefault="00D508C5">
            <w:pPr>
              <w:rPr>
                <w:sz w:val="1"/>
                <w:szCs w:val="1"/>
              </w:rPr>
            </w:pPr>
          </w:p>
        </w:tc>
      </w:tr>
      <w:tr w:rsidR="00D508C5" w14:paraId="7E8BB84A" w14:textId="77777777">
        <w:trPr>
          <w:trHeight w:val="232"/>
        </w:trPr>
        <w:tc>
          <w:tcPr>
            <w:tcW w:w="3740" w:type="dxa"/>
            <w:tcBorders>
              <w:top w:val="single" w:sz="8" w:space="0" w:color="auto"/>
            </w:tcBorders>
            <w:vAlign w:val="bottom"/>
          </w:tcPr>
          <w:p w14:paraId="779E9228" w14:textId="77777777" w:rsidR="00D508C5" w:rsidRDefault="00111E45">
            <w:pPr>
              <w:jc w:val="center"/>
              <w:rPr>
                <w:sz w:val="20"/>
                <w:szCs w:val="20"/>
              </w:rPr>
            </w:pPr>
            <w:r>
              <w:rPr>
                <w:rFonts w:eastAsia="Times New Roman"/>
                <w:b/>
                <w:bCs/>
                <w:w w:val="99"/>
                <w:sz w:val="18"/>
                <w:szCs w:val="18"/>
              </w:rPr>
              <w:t>Common Stock</w:t>
            </w:r>
          </w:p>
        </w:tc>
        <w:tc>
          <w:tcPr>
            <w:tcW w:w="120" w:type="dxa"/>
            <w:vAlign w:val="bottom"/>
          </w:tcPr>
          <w:p w14:paraId="195A073D" w14:textId="77777777" w:rsidR="00D508C5" w:rsidRDefault="00D508C5">
            <w:pPr>
              <w:rPr>
                <w:sz w:val="20"/>
                <w:szCs w:val="20"/>
              </w:rPr>
            </w:pPr>
          </w:p>
        </w:tc>
        <w:tc>
          <w:tcPr>
            <w:tcW w:w="3520" w:type="dxa"/>
            <w:tcBorders>
              <w:top w:val="single" w:sz="8" w:space="0" w:color="auto"/>
            </w:tcBorders>
            <w:vAlign w:val="bottom"/>
          </w:tcPr>
          <w:p w14:paraId="2DD468A2" w14:textId="77777777" w:rsidR="00D508C5" w:rsidRDefault="00111E45">
            <w:pPr>
              <w:ind w:left="1500"/>
              <w:rPr>
                <w:sz w:val="20"/>
                <w:szCs w:val="20"/>
              </w:rPr>
            </w:pPr>
            <w:r>
              <w:rPr>
                <w:rFonts w:eastAsia="Times New Roman"/>
                <w:b/>
                <w:bCs/>
                <w:sz w:val="18"/>
                <w:szCs w:val="18"/>
              </w:rPr>
              <w:t>VRCA</w:t>
            </w:r>
          </w:p>
        </w:tc>
        <w:tc>
          <w:tcPr>
            <w:tcW w:w="100" w:type="dxa"/>
            <w:vAlign w:val="bottom"/>
          </w:tcPr>
          <w:p w14:paraId="48BECE8A" w14:textId="77777777" w:rsidR="00D508C5" w:rsidRDefault="00D508C5">
            <w:pPr>
              <w:rPr>
                <w:sz w:val="20"/>
                <w:szCs w:val="20"/>
              </w:rPr>
            </w:pPr>
          </w:p>
        </w:tc>
        <w:tc>
          <w:tcPr>
            <w:tcW w:w="3540" w:type="dxa"/>
            <w:tcBorders>
              <w:top w:val="single" w:sz="8" w:space="0" w:color="auto"/>
            </w:tcBorders>
            <w:vAlign w:val="bottom"/>
          </w:tcPr>
          <w:p w14:paraId="5B066D1B" w14:textId="77777777" w:rsidR="00D508C5" w:rsidRDefault="00111E45">
            <w:pPr>
              <w:jc w:val="center"/>
              <w:rPr>
                <w:sz w:val="20"/>
                <w:szCs w:val="20"/>
              </w:rPr>
            </w:pPr>
            <w:r>
              <w:rPr>
                <w:rFonts w:eastAsia="Times New Roman"/>
                <w:b/>
                <w:bCs/>
                <w:w w:val="99"/>
                <w:sz w:val="18"/>
                <w:szCs w:val="18"/>
              </w:rPr>
              <w:t>The Nasdaq Stock Market LLC</w:t>
            </w:r>
          </w:p>
        </w:tc>
        <w:tc>
          <w:tcPr>
            <w:tcW w:w="0" w:type="dxa"/>
            <w:vAlign w:val="bottom"/>
          </w:tcPr>
          <w:p w14:paraId="20949102" w14:textId="77777777" w:rsidR="00D508C5" w:rsidRDefault="00D508C5">
            <w:pPr>
              <w:rPr>
                <w:sz w:val="1"/>
                <w:szCs w:val="1"/>
              </w:rPr>
            </w:pPr>
          </w:p>
        </w:tc>
      </w:tr>
    </w:tbl>
    <w:p w14:paraId="5129E26C" w14:textId="77777777" w:rsidR="00D508C5" w:rsidRDefault="00D508C5">
      <w:pPr>
        <w:spacing w:line="175" w:lineRule="exact"/>
        <w:rPr>
          <w:sz w:val="24"/>
          <w:szCs w:val="24"/>
        </w:rPr>
      </w:pPr>
    </w:p>
    <w:p w14:paraId="4EE026AB" w14:textId="77777777" w:rsidR="00D508C5" w:rsidRDefault="00111E45">
      <w:pPr>
        <w:spacing w:line="282" w:lineRule="auto"/>
        <w:ind w:left="4" w:right="300"/>
        <w:rPr>
          <w:sz w:val="20"/>
          <w:szCs w:val="20"/>
        </w:rPr>
      </w:pPr>
      <w:r>
        <w:rPr>
          <w:rFonts w:eastAsia="Times New Roman"/>
          <w:sz w:val="18"/>
          <w:szCs w:val="18"/>
        </w:rPr>
        <w:t xml:space="preserve">Indicate by check mark whether the registrant is an </w:t>
      </w:r>
      <w:r>
        <w:rPr>
          <w:rFonts w:eastAsia="Times New Roman"/>
          <w:sz w:val="18"/>
          <w:szCs w:val="18"/>
        </w:rPr>
        <w:t>emerging growth company as defined in Rule 405 of the Securities Act of 1933 (§230.405 of this chapter) or Rule 12b-2 of the Securities Exchange Act of 1934 (§240.12b-2 of this chapter).</w:t>
      </w:r>
    </w:p>
    <w:p w14:paraId="08385B5F" w14:textId="77777777" w:rsidR="00D508C5" w:rsidRDefault="00D508C5">
      <w:pPr>
        <w:spacing w:line="133" w:lineRule="exact"/>
        <w:rPr>
          <w:sz w:val="24"/>
          <w:szCs w:val="24"/>
        </w:rPr>
      </w:pPr>
    </w:p>
    <w:p w14:paraId="7515F88A" w14:textId="77777777" w:rsidR="00D508C5" w:rsidRDefault="00111E45">
      <w:pPr>
        <w:spacing w:line="207" w:lineRule="exact"/>
        <w:ind w:left="4"/>
        <w:rPr>
          <w:sz w:val="20"/>
          <w:szCs w:val="20"/>
        </w:rPr>
      </w:pPr>
      <w:r>
        <w:rPr>
          <w:rFonts w:eastAsia="Times New Roman"/>
          <w:sz w:val="18"/>
          <w:szCs w:val="18"/>
        </w:rPr>
        <w:t xml:space="preserve">Emerging growth company </w:t>
      </w:r>
      <w:r>
        <w:rPr>
          <w:rFonts w:ascii="MS PGothic" w:eastAsia="MS PGothic" w:hAnsi="MS PGothic" w:cs="MS PGothic"/>
          <w:sz w:val="18"/>
          <w:szCs w:val="18"/>
        </w:rPr>
        <w:t>☒</w:t>
      </w:r>
    </w:p>
    <w:p w14:paraId="66ECCCB4" w14:textId="77777777" w:rsidR="00D508C5" w:rsidRDefault="00D508C5">
      <w:pPr>
        <w:spacing w:line="254" w:lineRule="exact"/>
        <w:rPr>
          <w:sz w:val="24"/>
          <w:szCs w:val="24"/>
        </w:rPr>
      </w:pPr>
    </w:p>
    <w:p w14:paraId="2575F7EC" w14:textId="77777777" w:rsidR="00D508C5" w:rsidRDefault="00111E45">
      <w:pPr>
        <w:spacing w:line="235" w:lineRule="exact"/>
        <w:ind w:left="4" w:right="300"/>
        <w:rPr>
          <w:sz w:val="20"/>
          <w:szCs w:val="20"/>
        </w:rPr>
      </w:pPr>
      <w:r>
        <w:rPr>
          <w:rFonts w:eastAsia="Times New Roman"/>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eastAsia="MS PGothic" w:hAnsi="MS PGothic" w:cs="MS PGothic"/>
          <w:sz w:val="18"/>
          <w:szCs w:val="18"/>
        </w:rPr>
        <w:t>☒</w:t>
      </w:r>
    </w:p>
    <w:p w14:paraId="39B4ED1B" w14:textId="77777777" w:rsidR="00D508C5" w:rsidRDefault="00111E45">
      <w:pPr>
        <w:spacing w:line="20" w:lineRule="exact"/>
        <w:rPr>
          <w:sz w:val="24"/>
          <w:szCs w:val="24"/>
        </w:rPr>
      </w:pPr>
      <w:r>
        <w:rPr>
          <w:noProof/>
          <w:sz w:val="24"/>
          <w:szCs w:val="24"/>
        </w:rPr>
        <w:drawing>
          <wp:anchor distT="0" distB="0" distL="114300" distR="114300" simplePos="0" relativeHeight="251659264" behindDoc="1" locked="0" layoutInCell="0" allowOverlap="1" wp14:anchorId="204832E9" wp14:editId="0CD5C8DF">
            <wp:simplePos x="0" y="0"/>
            <wp:positionH relativeFrom="column">
              <wp:posOffset>0</wp:posOffset>
            </wp:positionH>
            <wp:positionV relativeFrom="paragraph">
              <wp:posOffset>133985</wp:posOffset>
            </wp:positionV>
            <wp:extent cx="699516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6995160" cy="8890"/>
                    </a:xfrm>
                    <a:prstGeom prst="rect">
                      <a:avLst/>
                    </a:prstGeom>
                    <a:noFill/>
                  </pic:spPr>
                </pic:pic>
              </a:graphicData>
            </a:graphic>
          </wp:anchor>
        </w:drawing>
      </w:r>
      <w:r>
        <w:rPr>
          <w:noProof/>
          <w:sz w:val="24"/>
          <w:szCs w:val="24"/>
        </w:rPr>
        <w:drawing>
          <wp:anchor distT="0" distB="0" distL="114300" distR="114300" simplePos="0" relativeHeight="251660288" behindDoc="1" locked="0" layoutInCell="0" allowOverlap="1" wp14:anchorId="0087DDA5" wp14:editId="774EB31E">
            <wp:simplePos x="0" y="0"/>
            <wp:positionH relativeFrom="column">
              <wp:posOffset>0</wp:posOffset>
            </wp:positionH>
            <wp:positionV relativeFrom="paragraph">
              <wp:posOffset>176530</wp:posOffset>
            </wp:positionV>
            <wp:extent cx="699516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6995160" cy="8890"/>
                    </a:xfrm>
                    <a:prstGeom prst="rect">
                      <a:avLst/>
                    </a:prstGeom>
                    <a:noFill/>
                  </pic:spPr>
                </pic:pic>
              </a:graphicData>
            </a:graphic>
          </wp:anchor>
        </w:drawing>
      </w:r>
    </w:p>
    <w:p w14:paraId="6CF8EC83" w14:textId="77777777" w:rsidR="00D508C5" w:rsidRDefault="00D508C5">
      <w:pPr>
        <w:sectPr w:rsidR="00D508C5">
          <w:pgSz w:w="11900" w:h="16838"/>
          <w:pgMar w:top="376" w:right="439" w:bottom="1440" w:left="436" w:header="0" w:footer="0" w:gutter="0"/>
          <w:cols w:space="720" w:equalWidth="0">
            <w:col w:w="11024"/>
          </w:cols>
        </w:sectPr>
      </w:pPr>
    </w:p>
    <w:p w14:paraId="24965746" w14:textId="77777777" w:rsidR="00D508C5" w:rsidRDefault="00111E45">
      <w:pPr>
        <w:tabs>
          <w:tab w:val="left" w:pos="1180"/>
        </w:tabs>
        <w:rPr>
          <w:sz w:val="20"/>
          <w:szCs w:val="20"/>
        </w:rPr>
      </w:pPr>
      <w:bookmarkStart w:id="1" w:name="page2"/>
      <w:bookmarkEnd w:id="1"/>
      <w:r>
        <w:rPr>
          <w:rFonts w:eastAsia="Times New Roman"/>
          <w:b/>
          <w:bCs/>
          <w:noProof/>
          <w:sz w:val="18"/>
          <w:szCs w:val="18"/>
        </w:rPr>
        <w:lastRenderedPageBreak/>
        <w:drawing>
          <wp:anchor distT="0" distB="0" distL="114300" distR="114300" simplePos="0" relativeHeight="251661312" behindDoc="1" locked="0" layoutInCell="0" allowOverlap="1" wp14:anchorId="213A7E3D" wp14:editId="5C099E3C">
            <wp:simplePos x="0" y="0"/>
            <wp:positionH relativeFrom="page">
              <wp:posOffset>195580</wp:posOffset>
            </wp:positionH>
            <wp:positionV relativeFrom="page">
              <wp:posOffset>88900</wp:posOffset>
            </wp:positionV>
            <wp:extent cx="7174865" cy="558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7174865" cy="55880"/>
                    </a:xfrm>
                    <a:prstGeom prst="rect">
                      <a:avLst/>
                    </a:prstGeom>
                    <a:noFill/>
                  </pic:spPr>
                </pic:pic>
              </a:graphicData>
            </a:graphic>
          </wp:anchor>
        </w:drawing>
      </w:r>
      <w:r>
        <w:rPr>
          <w:rFonts w:eastAsia="Times New Roman"/>
          <w:b/>
          <w:bCs/>
          <w:sz w:val="18"/>
          <w:szCs w:val="18"/>
        </w:rPr>
        <w:t>Item 8.01</w:t>
      </w:r>
      <w:r>
        <w:rPr>
          <w:sz w:val="20"/>
          <w:szCs w:val="20"/>
        </w:rPr>
        <w:tab/>
      </w:r>
      <w:r>
        <w:rPr>
          <w:rFonts w:eastAsia="Times New Roman"/>
          <w:b/>
          <w:bCs/>
          <w:sz w:val="17"/>
          <w:szCs w:val="17"/>
        </w:rPr>
        <w:t>Other Events.</w:t>
      </w:r>
    </w:p>
    <w:p w14:paraId="369EF1AC" w14:textId="77777777" w:rsidR="00D508C5" w:rsidRDefault="00D508C5">
      <w:pPr>
        <w:spacing w:line="121" w:lineRule="exact"/>
        <w:rPr>
          <w:sz w:val="20"/>
          <w:szCs w:val="20"/>
        </w:rPr>
      </w:pPr>
    </w:p>
    <w:p w14:paraId="0AAA13C7" w14:textId="77777777" w:rsidR="00D508C5" w:rsidRDefault="00111E45">
      <w:pPr>
        <w:spacing w:line="254" w:lineRule="auto"/>
        <w:rPr>
          <w:sz w:val="20"/>
          <w:szCs w:val="20"/>
        </w:rPr>
      </w:pPr>
      <w:r>
        <w:rPr>
          <w:rFonts w:eastAsia="Times New Roman"/>
          <w:sz w:val="18"/>
          <w:szCs w:val="18"/>
        </w:rPr>
        <w:t>On July 11, 2022, Verrica Pharmaceuticals Inc. (the “Company”), voluntarily repaid in full the debt outstanding under the mezzanine loan and security agreement by and among the Company and Silicon Valley Bank a</w:t>
      </w:r>
      <w:r>
        <w:rPr>
          <w:rFonts w:eastAsia="Times New Roman"/>
          <w:sz w:val="18"/>
          <w:szCs w:val="18"/>
        </w:rPr>
        <w:t>s administrative agent and collateral agent and Silicon Valley Bank and West River Innovation Lending Fund VIII, L.P. as the lenders, dated March 10, 2020, as amended (the “Mezzanine Loan Agreement”) as well as the loan and security agreement by and betwee</w:t>
      </w:r>
      <w:r>
        <w:rPr>
          <w:rFonts w:eastAsia="Times New Roman"/>
          <w:sz w:val="18"/>
          <w:szCs w:val="18"/>
        </w:rPr>
        <w:t>n the Company and Silicon Valley Bank, dated March 10, 2020, as amended (the “Senior Loan Agreement” and, together with the Mezzanine Loan Agreement, the “Loan Agreements”). The Company’s prepayment amount was approximately $43.9 million, inclusive of prin</w:t>
      </w:r>
      <w:r>
        <w:rPr>
          <w:rFonts w:eastAsia="Times New Roman"/>
          <w:sz w:val="18"/>
          <w:szCs w:val="18"/>
        </w:rPr>
        <w:t>cipal amount of debt, the final payment fee, and accrued interest, and satisfied all of the Company’s outstanding debt obligations under the Loan Agreements. The Company did not incur any prepayment penalties in connection with the repayment of the amounts</w:t>
      </w:r>
      <w:r>
        <w:rPr>
          <w:rFonts w:eastAsia="Times New Roman"/>
          <w:sz w:val="18"/>
          <w:szCs w:val="18"/>
        </w:rPr>
        <w:t xml:space="preserve"> payable under the Loan Agreements, which had a scheduled maturity of March 1, 2024. The prepayment was made in full using restricted cash of $40.0 million, which was set aside as cash collateral in a March 2022 amendment to the Mezzanine Loan Agreement, a</w:t>
      </w:r>
      <w:r>
        <w:rPr>
          <w:rFonts w:eastAsia="Times New Roman"/>
          <w:sz w:val="18"/>
          <w:szCs w:val="18"/>
        </w:rPr>
        <w:t>s well as cash on hand.</w:t>
      </w:r>
    </w:p>
    <w:p w14:paraId="39C566ED" w14:textId="77777777" w:rsidR="00D508C5" w:rsidRDefault="00D508C5">
      <w:pPr>
        <w:sectPr w:rsidR="00D508C5">
          <w:pgSz w:w="11900" w:h="16838"/>
          <w:pgMar w:top="293" w:right="579" w:bottom="1440" w:left="440" w:header="0" w:footer="0" w:gutter="0"/>
          <w:cols w:space="720" w:equalWidth="0">
            <w:col w:w="10880"/>
          </w:cols>
        </w:sectPr>
      </w:pPr>
    </w:p>
    <w:p w14:paraId="650A5D53" w14:textId="77777777" w:rsidR="00D508C5" w:rsidRDefault="00111E45">
      <w:pPr>
        <w:ind w:left="4920"/>
        <w:rPr>
          <w:sz w:val="20"/>
          <w:szCs w:val="20"/>
        </w:rPr>
      </w:pPr>
      <w:bookmarkStart w:id="2" w:name="page3"/>
      <w:bookmarkEnd w:id="2"/>
      <w:r>
        <w:rPr>
          <w:rFonts w:eastAsia="Times New Roman"/>
          <w:b/>
          <w:bCs/>
          <w:noProof/>
          <w:sz w:val="18"/>
          <w:szCs w:val="18"/>
        </w:rPr>
        <w:lastRenderedPageBreak/>
        <w:drawing>
          <wp:anchor distT="0" distB="0" distL="114300" distR="114300" simplePos="0" relativeHeight="251662336" behindDoc="1" locked="0" layoutInCell="0" allowOverlap="1" wp14:anchorId="780846D9" wp14:editId="7092F7FA">
            <wp:simplePos x="0" y="0"/>
            <wp:positionH relativeFrom="page">
              <wp:posOffset>195580</wp:posOffset>
            </wp:positionH>
            <wp:positionV relativeFrom="page">
              <wp:posOffset>88900</wp:posOffset>
            </wp:positionV>
            <wp:extent cx="7174865" cy="552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7174865" cy="55245"/>
                    </a:xfrm>
                    <a:prstGeom prst="rect">
                      <a:avLst/>
                    </a:prstGeom>
                    <a:noFill/>
                  </pic:spPr>
                </pic:pic>
              </a:graphicData>
            </a:graphic>
          </wp:anchor>
        </w:drawing>
      </w:r>
      <w:r>
        <w:rPr>
          <w:rFonts w:eastAsia="Times New Roman"/>
          <w:b/>
          <w:bCs/>
          <w:sz w:val="18"/>
          <w:szCs w:val="18"/>
        </w:rPr>
        <w:t>SIGNATURES</w:t>
      </w:r>
    </w:p>
    <w:p w14:paraId="59AB2114" w14:textId="77777777" w:rsidR="00D508C5" w:rsidRDefault="00D508C5">
      <w:pPr>
        <w:spacing w:line="229" w:lineRule="exact"/>
        <w:rPr>
          <w:sz w:val="20"/>
          <w:szCs w:val="20"/>
        </w:rPr>
      </w:pPr>
    </w:p>
    <w:p w14:paraId="1520D3A3" w14:textId="77777777" w:rsidR="00D508C5" w:rsidRDefault="00111E45">
      <w:pPr>
        <w:spacing w:line="282" w:lineRule="auto"/>
        <w:rPr>
          <w:sz w:val="20"/>
          <w:szCs w:val="20"/>
        </w:rPr>
      </w:pPr>
      <w:r>
        <w:rPr>
          <w:rFonts w:eastAsia="Times New Roman"/>
          <w:sz w:val="18"/>
          <w:szCs w:val="18"/>
        </w:rPr>
        <w:t>Pursuant to the requirements of the Securities Exchange Act of 1934, the registrant has duly caused this report to be signed on its behalf by the undersigned hereunto duly authorized.</w:t>
      </w:r>
    </w:p>
    <w:p w14:paraId="2763BFC0" w14:textId="77777777" w:rsidR="00D508C5" w:rsidRDefault="00D508C5">
      <w:pPr>
        <w:spacing w:line="185" w:lineRule="exact"/>
        <w:rPr>
          <w:sz w:val="20"/>
          <w:szCs w:val="20"/>
        </w:rPr>
      </w:pPr>
    </w:p>
    <w:p w14:paraId="38BFF0AF" w14:textId="77777777" w:rsidR="00D508C5" w:rsidRDefault="00111E45">
      <w:pPr>
        <w:ind w:left="5940"/>
        <w:rPr>
          <w:sz w:val="20"/>
          <w:szCs w:val="20"/>
        </w:rPr>
      </w:pPr>
      <w:r>
        <w:rPr>
          <w:rFonts w:eastAsia="Times New Roman"/>
          <w:b/>
          <w:bCs/>
          <w:sz w:val="18"/>
          <w:szCs w:val="18"/>
        </w:rPr>
        <w:t>Verrica Pharma</w:t>
      </w:r>
      <w:r>
        <w:rPr>
          <w:rFonts w:eastAsia="Times New Roman"/>
          <w:b/>
          <w:bCs/>
          <w:sz w:val="18"/>
          <w:szCs w:val="18"/>
        </w:rPr>
        <w:t>ceuticals Inc.</w:t>
      </w:r>
    </w:p>
    <w:p w14:paraId="36812B70" w14:textId="77777777" w:rsidR="00D508C5" w:rsidRDefault="00D508C5">
      <w:pPr>
        <w:spacing w:line="229" w:lineRule="exact"/>
        <w:rPr>
          <w:sz w:val="20"/>
          <w:szCs w:val="20"/>
        </w:rPr>
      </w:pPr>
    </w:p>
    <w:p w14:paraId="146C3491" w14:textId="77777777" w:rsidR="00D508C5" w:rsidRDefault="00111E45">
      <w:pPr>
        <w:tabs>
          <w:tab w:val="left" w:pos="5920"/>
        </w:tabs>
        <w:rPr>
          <w:sz w:val="20"/>
          <w:szCs w:val="20"/>
        </w:rPr>
      </w:pPr>
      <w:r>
        <w:rPr>
          <w:rFonts w:eastAsia="Times New Roman"/>
          <w:sz w:val="18"/>
          <w:szCs w:val="18"/>
        </w:rPr>
        <w:t>Date: July 13, 2022</w:t>
      </w:r>
      <w:r>
        <w:rPr>
          <w:sz w:val="20"/>
          <w:szCs w:val="20"/>
        </w:rPr>
        <w:tab/>
      </w:r>
      <w:r>
        <w:rPr>
          <w:rFonts w:eastAsia="Times New Roman"/>
          <w:sz w:val="17"/>
          <w:szCs w:val="17"/>
        </w:rPr>
        <w:t>/s/ P. Terence Kohler Jr.</w:t>
      </w:r>
    </w:p>
    <w:p w14:paraId="16296017" w14:textId="77777777" w:rsidR="00D508C5" w:rsidRDefault="00111E45">
      <w:pPr>
        <w:spacing w:line="20" w:lineRule="exact"/>
        <w:rPr>
          <w:sz w:val="20"/>
          <w:szCs w:val="20"/>
        </w:rPr>
      </w:pPr>
      <w:r>
        <w:rPr>
          <w:noProof/>
          <w:sz w:val="20"/>
          <w:szCs w:val="20"/>
        </w:rPr>
        <w:drawing>
          <wp:anchor distT="0" distB="0" distL="114300" distR="114300" simplePos="0" relativeHeight="251663360" behindDoc="1" locked="0" layoutInCell="0" allowOverlap="1" wp14:anchorId="5140297B" wp14:editId="258430AC">
            <wp:simplePos x="0" y="0"/>
            <wp:positionH relativeFrom="column">
              <wp:posOffset>3777615</wp:posOffset>
            </wp:positionH>
            <wp:positionV relativeFrom="paragraph">
              <wp:posOffset>17145</wp:posOffset>
            </wp:positionV>
            <wp:extent cx="3214370" cy="8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214370" cy="8255"/>
                    </a:xfrm>
                    <a:prstGeom prst="rect">
                      <a:avLst/>
                    </a:prstGeom>
                    <a:noFill/>
                  </pic:spPr>
                </pic:pic>
              </a:graphicData>
            </a:graphic>
          </wp:anchor>
        </w:drawing>
      </w:r>
    </w:p>
    <w:p w14:paraId="4C581BC9" w14:textId="77777777" w:rsidR="00D508C5" w:rsidRDefault="00D508C5">
      <w:pPr>
        <w:spacing w:line="34" w:lineRule="exact"/>
        <w:rPr>
          <w:sz w:val="20"/>
          <w:szCs w:val="20"/>
        </w:rPr>
      </w:pPr>
    </w:p>
    <w:p w14:paraId="6B2EC828" w14:textId="77777777" w:rsidR="00D508C5" w:rsidRDefault="00111E45">
      <w:pPr>
        <w:ind w:left="5940"/>
        <w:rPr>
          <w:sz w:val="20"/>
          <w:szCs w:val="20"/>
        </w:rPr>
      </w:pPr>
      <w:r>
        <w:rPr>
          <w:rFonts w:eastAsia="Times New Roman"/>
          <w:sz w:val="18"/>
          <w:szCs w:val="18"/>
        </w:rPr>
        <w:t>P. Terence Kohler Jr.</w:t>
      </w:r>
    </w:p>
    <w:p w14:paraId="7CC19413" w14:textId="77777777" w:rsidR="00D508C5" w:rsidRDefault="00D508C5">
      <w:pPr>
        <w:spacing w:line="9" w:lineRule="exact"/>
        <w:rPr>
          <w:sz w:val="20"/>
          <w:szCs w:val="20"/>
        </w:rPr>
      </w:pPr>
    </w:p>
    <w:p w14:paraId="295A8C53" w14:textId="77777777" w:rsidR="00D508C5" w:rsidRDefault="00111E45">
      <w:pPr>
        <w:ind w:left="5940"/>
        <w:rPr>
          <w:sz w:val="20"/>
          <w:szCs w:val="20"/>
        </w:rPr>
      </w:pPr>
      <w:r>
        <w:rPr>
          <w:rFonts w:eastAsia="Times New Roman"/>
          <w:sz w:val="18"/>
          <w:szCs w:val="18"/>
        </w:rPr>
        <w:t>Chief Financial Officer</w:t>
      </w:r>
    </w:p>
    <w:sectPr w:rsidR="00D508C5">
      <w:pgSz w:w="11900" w:h="16838"/>
      <w:pgMar w:top="293" w:right="1199" w:bottom="1440" w:left="440" w:header="0" w:footer="0" w:gutter="0"/>
      <w:cols w:space="720" w:equalWidth="0">
        <w:col w:w="10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DE5E39FC"/>
    <w:lvl w:ilvl="0" w:tplc="EDF42A86">
      <w:start w:val="1"/>
      <w:numFmt w:val="bullet"/>
      <w:lvlText w:val="☐"/>
      <w:lvlJc w:val="left"/>
    </w:lvl>
    <w:lvl w:ilvl="1" w:tplc="9B660282">
      <w:numFmt w:val="decimal"/>
      <w:lvlText w:val=""/>
      <w:lvlJc w:val="left"/>
    </w:lvl>
    <w:lvl w:ilvl="2" w:tplc="99328782">
      <w:numFmt w:val="decimal"/>
      <w:lvlText w:val=""/>
      <w:lvlJc w:val="left"/>
    </w:lvl>
    <w:lvl w:ilvl="3" w:tplc="141A8A00">
      <w:numFmt w:val="decimal"/>
      <w:lvlText w:val=""/>
      <w:lvlJc w:val="left"/>
    </w:lvl>
    <w:lvl w:ilvl="4" w:tplc="A2EEFD60">
      <w:numFmt w:val="decimal"/>
      <w:lvlText w:val=""/>
      <w:lvlJc w:val="left"/>
    </w:lvl>
    <w:lvl w:ilvl="5" w:tplc="DA523182">
      <w:numFmt w:val="decimal"/>
      <w:lvlText w:val=""/>
      <w:lvlJc w:val="left"/>
    </w:lvl>
    <w:lvl w:ilvl="6" w:tplc="A970B142">
      <w:numFmt w:val="decimal"/>
      <w:lvlText w:val=""/>
      <w:lvlJc w:val="left"/>
    </w:lvl>
    <w:lvl w:ilvl="7" w:tplc="A6988BB8">
      <w:numFmt w:val="decimal"/>
      <w:lvlText w:val=""/>
      <w:lvlJc w:val="left"/>
    </w:lvl>
    <w:lvl w:ilvl="8" w:tplc="73D88B3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C5"/>
    <w:rsid w:val="00111E45"/>
    <w:rsid w:val="00D5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F987F"/>
  <w15:docId w15:val="{CCC3BC65-1357-064C-82D6-A96F292B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Joseph cianciotto</cp:lastModifiedBy>
  <cp:revision>2</cp:revision>
  <dcterms:created xsi:type="dcterms:W3CDTF">2022-07-13T21:24:00Z</dcterms:created>
  <dcterms:modified xsi:type="dcterms:W3CDTF">2022-07-13T21:24:00Z</dcterms:modified>
</cp:coreProperties>
</file>